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jc w:val="both"/>
        <w:rPr>
          <w:rFonts w:cs="Tahoma" w:ascii="Garamond" w:hAnsi="Garamond"/>
          <w:b/>
          <w:sz w:val="24"/>
          <w:szCs w:val="24"/>
        </w:rPr>
      </w:pPr>
      <w:r>
        <w:rPr>
          <w:rFonts w:cs="Tahoma" w:ascii="Garamond" w:hAnsi="Garamond"/>
          <w:b/>
          <w:sz w:val="24"/>
          <w:szCs w:val="24"/>
        </w:rPr>
      </w:r>
    </w:p>
    <w:p>
      <w:pPr>
        <w:pStyle w:val="Normal"/>
        <w:tabs>
          <w:tab w:val="left" w:pos="5160" w:leader="none"/>
        </w:tabs>
        <w:spacing w:before="119" w:after="0"/>
        <w:contextualSpacing/>
        <w:jc w:val="right"/>
        <w:rPr>
          <w:rFonts w:ascii="Garamond" w:hAnsi="Garamond"/>
          <w:b w:val="false"/>
          <w:bCs w:val="false"/>
        </w:rPr>
      </w:pPr>
      <w:r>
        <w:rPr>
          <w:rFonts w:ascii="Garamond" w:hAnsi="Garamond"/>
          <w:b w:val="false"/>
          <w:bCs w:val="false"/>
        </w:rPr>
        <w:t>Spett.le</w:t>
      </w:r>
    </w:p>
    <w:p>
      <w:pPr>
        <w:pStyle w:val="Normal"/>
        <w:tabs>
          <w:tab w:val="left" w:pos="5160" w:leader="none"/>
        </w:tabs>
        <w:spacing w:before="119" w:after="0"/>
        <w:contextualSpacing/>
        <w:jc w:val="right"/>
        <w:rPr>
          <w:rFonts w:ascii="Garamond" w:hAnsi="Garamond"/>
          <w:b/>
        </w:rPr>
      </w:pPr>
      <w:r>
        <w:rPr>
          <w:rFonts w:ascii="Garamond" w:hAnsi="Garamond"/>
          <w:b/>
        </w:rPr>
        <w:t>Centrale Unica di Committenza</w:t>
      </w:r>
    </w:p>
    <w:p>
      <w:pPr>
        <w:pStyle w:val="Normal"/>
        <w:tabs>
          <w:tab w:val="left" w:pos="5160" w:leader="none"/>
        </w:tabs>
        <w:spacing w:before="119" w:after="0"/>
        <w:contextualSpacing/>
        <w:jc w:val="right"/>
        <w:rPr>
          <w:rFonts w:ascii="Garamond" w:hAnsi="Garamond"/>
          <w:b/>
        </w:rPr>
      </w:pPr>
      <w:r>
        <w:rPr>
          <w:rFonts w:ascii="Garamond" w:hAnsi="Garamond"/>
          <w:b/>
        </w:rPr>
        <w:t>dell’Unione Tresinaro Secchia</w:t>
      </w:r>
    </w:p>
    <w:p>
      <w:pPr>
        <w:pStyle w:val="Normal"/>
        <w:tabs>
          <w:tab w:val="left" w:pos="5160" w:leader="none"/>
        </w:tabs>
        <w:spacing w:before="119" w:after="0"/>
        <w:contextualSpacing/>
        <w:jc w:val="right"/>
        <w:rPr>
          <w:rFonts w:ascii="Garamond" w:hAnsi="Garamond"/>
          <w:b w:val="false"/>
          <w:bCs w:val="false"/>
        </w:rPr>
      </w:pPr>
      <w:r>
        <w:rPr>
          <w:rFonts w:ascii="Garamond" w:hAnsi="Garamond"/>
          <w:b w:val="false"/>
          <w:bCs w:val="false"/>
        </w:rPr>
        <w:t>Corso Vallisneri, n. 6/F</w:t>
      </w:r>
    </w:p>
    <w:p>
      <w:pPr>
        <w:pStyle w:val="Normal"/>
        <w:widowControl/>
        <w:tabs>
          <w:tab w:val="left" w:pos="5160" w:leader="none"/>
        </w:tabs>
        <w:spacing w:before="119" w:after="0"/>
        <w:contextualSpacing/>
        <w:jc w:val="right"/>
        <w:rPr>
          <w:rFonts w:ascii="Garamond" w:hAnsi="Garamond"/>
          <w:b w:val="false"/>
          <w:bCs w:val="false"/>
        </w:rPr>
      </w:pPr>
      <w:r>
        <w:rPr>
          <w:rFonts w:ascii="Garamond" w:hAnsi="Garamond"/>
          <w:b w:val="false"/>
          <w:bCs w:val="false"/>
        </w:rPr>
        <w:t>42019 Scandiano (RE)</w:t>
      </w:r>
    </w:p>
    <w:p>
      <w:pPr>
        <w:pStyle w:val="Titolo6"/>
        <w:spacing w:before="0" w:after="0"/>
        <w:ind w:left="0" w:right="0" w:hanging="0"/>
        <w:contextualSpacing/>
        <w:jc w:val="right"/>
        <w:rPr>
          <w:rFonts w:eastAsia="Arial Unicode MS" w:cs="Tahoma" w:ascii="Garamond" w:hAnsi="Garamond"/>
          <w:b w:val="false"/>
          <w:bCs/>
          <w:sz w:val="24"/>
          <w:szCs w:val="24"/>
          <w:u w:val="single"/>
        </w:rPr>
      </w:pPr>
      <w:r>
        <w:rPr>
          <w:rFonts w:eastAsia="Arial Unicode MS" w:cs="Tahoma" w:ascii="Garamond" w:hAnsi="Garamond"/>
          <w:b w:val="false"/>
          <w:bCs/>
          <w:sz w:val="24"/>
          <w:szCs w:val="24"/>
          <w:u w:val="single"/>
        </w:rPr>
        <w:t>Inviato mediante Piattaforma Mercato Elettronico</w:t>
      </w:r>
    </w:p>
    <w:p>
      <w:pPr>
        <w:pStyle w:val="Normal"/>
        <w:spacing w:before="0" w:after="0"/>
        <w:contextualSpacing/>
        <w:jc w:val="both"/>
        <w:rPr/>
      </w:pPr>
      <w:r>
        <w:rPr/>
      </w:r>
    </w:p>
    <w:p>
      <w:pPr>
        <w:pStyle w:val="Normal"/>
        <w:spacing w:before="0" w:after="0"/>
        <w:contextualSpacing/>
        <w:jc w:val="both"/>
        <w:rPr/>
      </w:pPr>
      <w:r>
        <w:rPr/>
      </w:r>
    </w:p>
    <w:p>
      <w:pPr>
        <w:pStyle w:val="Normal"/>
        <w:spacing w:before="0" w:after="0"/>
        <w:contextualSpacing/>
        <w:jc w:val="both"/>
        <w:rPr>
          <w:rFonts w:ascii="Garamond" w:hAnsi="Garamond"/>
          <w:b/>
          <w:bCs/>
          <w:color w:val="000000"/>
          <w:sz w:val="24"/>
          <w:szCs w:val="24"/>
        </w:rPr>
      </w:pPr>
      <w:r>
        <w:rPr>
          <w:rStyle w:val="Carpredefinitoparagrafo"/>
          <w:rFonts w:eastAsia="Times New Roman" w:cs="Times New Roman" w:ascii="Garamond" w:hAnsi="Garamond"/>
          <w:b/>
          <w:bCs/>
          <w:caps/>
          <w:color w:val="000000"/>
          <w:sz w:val="24"/>
          <w:szCs w:val="24"/>
          <w:lang w:bidi="ar-SA"/>
        </w:rPr>
        <w:t xml:space="preserve">PROCEDURA APERTA TELEMATICA SU PIATTAFORMA SATER PER L’AFFIDAMENTO IN APPALTO DEI </w:t>
      </w:r>
      <w:r>
        <w:rPr>
          <w:rFonts w:ascii="Garamond" w:hAnsi="Garamond"/>
          <w:b/>
          <w:bCs/>
          <w:color w:val="000000"/>
          <w:sz w:val="24"/>
          <w:szCs w:val="24"/>
        </w:rPr>
        <w:t>LAVORI DI RIFACIMENTO COPERTURA E RISTRUTTURAZIONE DELL'ASILO NIDO “GIRASOLE” DI ARCETO DI SCANDIANO (RE).</w:t>
      </w:r>
    </w:p>
    <w:p>
      <w:pPr>
        <w:pStyle w:val="Normal"/>
        <w:widowControl w:val="false"/>
        <w:spacing w:lineRule="auto" w:line="276" w:before="0" w:after="0"/>
        <w:contextualSpacing/>
        <w:jc w:val="both"/>
        <w:rPr>
          <w:rFonts w:eastAsia="SimSun;宋体" w:cs="Mangal" w:ascii="Garamond" w:hAnsi="Garamond"/>
          <w:b/>
          <w:bCs/>
          <w:sz w:val="24"/>
          <w:szCs w:val="24"/>
          <w:lang w:bidi="hi-IN"/>
        </w:rPr>
      </w:pPr>
      <w:r>
        <w:rPr>
          <w:rFonts w:eastAsia="SimSun;宋体" w:cs="Mangal" w:ascii="Garamond" w:hAnsi="Garamond"/>
          <w:b/>
          <w:bCs/>
          <w:sz w:val="24"/>
          <w:szCs w:val="24"/>
          <w:lang w:bidi="hi-IN"/>
        </w:rPr>
        <w:t>CIG: 7750176F8B</w:t>
      </w:r>
    </w:p>
    <w:p>
      <w:pPr>
        <w:pStyle w:val="Normal"/>
        <w:widowControl w:val="false"/>
        <w:spacing w:lineRule="auto" w:line="276" w:before="0" w:after="0"/>
        <w:contextualSpacing/>
        <w:jc w:val="both"/>
        <w:rPr>
          <w:rFonts w:eastAsia="SimSun;宋体" w:cs="Mangal" w:ascii="Garamond" w:hAnsi="Garamond"/>
          <w:b/>
          <w:bCs/>
          <w:sz w:val="24"/>
          <w:szCs w:val="24"/>
          <w:lang w:bidi="hi-IN"/>
        </w:rPr>
      </w:pPr>
      <w:r>
        <w:rPr>
          <w:rFonts w:eastAsia="SimSun;宋体" w:cs="Mangal" w:ascii="Garamond" w:hAnsi="Garamond"/>
          <w:b/>
          <w:bCs/>
          <w:sz w:val="24"/>
          <w:szCs w:val="24"/>
          <w:lang w:bidi="hi-IN"/>
        </w:rPr>
        <w:t>CUP: I68G18000010004</w:t>
      </w:r>
    </w:p>
    <w:p>
      <w:pPr>
        <w:pStyle w:val="Normal"/>
        <w:widowControl w:val="false"/>
        <w:tabs>
          <w:tab w:val="left" w:pos="5160" w:leader="none"/>
        </w:tabs>
        <w:suppressAutoHyphens w:val="true"/>
        <w:bidi w:val="0"/>
        <w:spacing w:lineRule="auto" w:line="276" w:before="0" w:after="0"/>
        <w:ind w:left="0" w:right="0" w:hanging="0"/>
        <w:contextualSpacing/>
        <w:jc w:val="both"/>
        <w:textAlignment w:val="baseline"/>
        <w:rPr>
          <w:rStyle w:val="Carpredefinitoparagrafo"/>
          <w:rFonts w:eastAsia="SimSun;宋体" w:cs="Mangal" w:ascii="Garamond" w:hAnsi="Garamond"/>
          <w:b/>
          <w:bCs/>
          <w:caps/>
          <w:sz w:val="24"/>
          <w:szCs w:val="24"/>
          <w:shd w:fill="FFFFFF" w:val="clear"/>
          <w:lang w:bidi="hi-IN"/>
        </w:rPr>
      </w:pPr>
      <w:r>
        <w:rPr>
          <w:rFonts w:eastAsia="SimSun;宋体" w:cs="Mangal" w:ascii="Garamond" w:hAnsi="Garamond"/>
          <w:b/>
          <w:bCs/>
          <w:sz w:val="24"/>
          <w:szCs w:val="24"/>
          <w:lang w:bidi="hi-IN"/>
        </w:rPr>
        <w:t xml:space="preserve">CPV: </w:t>
      </w:r>
      <w:r>
        <w:rPr>
          <w:rStyle w:val="Carpredefinitoparagrafo"/>
          <w:rFonts w:eastAsia="SimSun;宋体" w:cs="Mangal" w:ascii="Garamond" w:hAnsi="Garamond"/>
          <w:b/>
          <w:bCs/>
          <w:caps/>
          <w:sz w:val="24"/>
          <w:szCs w:val="24"/>
          <w:shd w:fill="FFFFFF" w:val="clear"/>
          <w:lang w:bidi="hi-IN"/>
        </w:rPr>
        <w:t>45454000-4 – lavori di ristrutturazione</w:t>
      </w:r>
    </w:p>
    <w:p>
      <w:pPr>
        <w:pStyle w:val="Normal"/>
        <w:widowControl/>
        <w:jc w:val="center"/>
        <w:rPr>
          <w:rFonts w:ascii="Garamond" w:hAnsi="Garamond"/>
          <w:b/>
          <w:sz w:val="28"/>
          <w:szCs w:val="28"/>
          <w:lang w:eastAsia="it-IT"/>
        </w:rPr>
      </w:pPr>
      <w:r>
        <w:rPr>
          <w:rFonts w:ascii="Garamond" w:hAnsi="Garamond"/>
          <w:b/>
          <w:sz w:val="28"/>
          <w:szCs w:val="28"/>
          <w:lang w:eastAsia="it-IT"/>
        </w:rPr>
      </w:r>
    </w:p>
    <w:p>
      <w:pPr>
        <w:pStyle w:val="Normal"/>
        <w:rPr>
          <w:rFonts w:eastAsia="Arial Unicode MS" w:cs="Tahoma" w:ascii="Garamond" w:hAnsi="Garamond"/>
          <w:sz w:val="24"/>
          <w:szCs w:val="24"/>
        </w:rPr>
      </w:pPr>
      <w:bookmarkStart w:id="0" w:name="OLE_LINK21"/>
      <w:bookmarkStart w:id="1" w:name="OLE_LINK2"/>
      <w:bookmarkStart w:id="2" w:name="OLE_LINK21"/>
      <w:bookmarkStart w:id="3" w:name="OLE_LINK2"/>
      <w:bookmarkEnd w:id="2"/>
      <w:bookmarkEnd w:id="3"/>
      <w:r>
        <w:rPr>
          <w:rFonts w:eastAsia="Arial Unicode MS" w:cs="Tahoma" w:ascii="Garamond" w:hAnsi="Garamond"/>
          <w:sz w:val="24"/>
          <w:szCs w:val="24"/>
        </w:rPr>
      </w:r>
    </w:p>
    <w:p>
      <w:pPr>
        <w:pStyle w:val="Normal"/>
        <w:widowControl/>
        <w:spacing w:lineRule="auto" w:line="276"/>
        <w:ind w:left="-57" w:right="0" w:hanging="0"/>
        <w:jc w:val="both"/>
        <w:rPr>
          <w:rFonts w:cs="Tahoma" w:ascii="Garamond" w:hAnsi="Garamond"/>
          <w:sz w:val="24"/>
          <w:szCs w:val="24"/>
        </w:rPr>
      </w:pPr>
      <w:r>
        <w:rPr>
          <w:rFonts w:cs="Tahoma" w:ascii="Garamond" w:hAnsi="Garamond"/>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ascii="Garamond" w:hAnsi="Garamond"/>
          <w:sz w:val="24"/>
          <w:szCs w:val="24"/>
        </w:rPr>
      </w:pPr>
      <w:r>
        <w:rPr>
          <w:rFonts w:cs="Tahoma" w:ascii="Garamond" w:hAnsi="Garamond"/>
          <w:sz w:val="24"/>
          <w:szCs w:val="24"/>
        </w:rPr>
      </w:r>
    </w:p>
    <w:p>
      <w:pPr>
        <w:pStyle w:val="Normal"/>
        <w:widowControl/>
        <w:spacing w:lineRule="auto" w:line="360"/>
        <w:jc w:val="both"/>
        <w:rPr>
          <w:rFonts w:cs="Tahoma" w:ascii="Garamond" w:hAnsi="Garamond"/>
          <w:sz w:val="22"/>
          <w:lang w:eastAsia="it-IT"/>
        </w:rPr>
      </w:pPr>
      <w:bookmarkStart w:id="4" w:name="OLE_LINK261"/>
      <w:bookmarkEnd w:id="4"/>
      <w:r>
        <w:rPr>
          <w:rFonts w:cs="Tahoma" w:ascii="Garamond" w:hAnsi="Garamond"/>
          <w:sz w:val="22"/>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ascii="Garamond" w:hAnsi="Garamond"/>
          <w:sz w:val="24"/>
          <w:szCs w:val="24"/>
          <w:lang w:val="it-IT"/>
        </w:rPr>
      </w:pPr>
      <w:r>
        <w:rPr>
          <w:rFonts w:cs="Tahoma" w:ascii="Garamond" w:hAnsi="Garamond"/>
          <w:sz w:val="24"/>
          <w:szCs w:val="24"/>
          <w:lang w:val="it-IT"/>
        </w:rPr>
      </w:r>
    </w:p>
    <w:p>
      <w:pPr>
        <w:pStyle w:val="Sche3"/>
        <w:widowControl/>
        <w:spacing w:lineRule="auto" w:line="276"/>
        <w:jc w:val="center"/>
        <w:rPr>
          <w:rFonts w:cs="Tahoma" w:ascii="Garamond" w:hAnsi="Garamond"/>
          <w:sz w:val="24"/>
          <w:szCs w:val="24"/>
          <w:lang w:val="it-IT"/>
        </w:rPr>
      </w:pPr>
      <w:r>
        <w:rPr>
          <w:rFonts w:cs="Tahoma" w:ascii="Garamond" w:hAnsi="Garamond"/>
          <w:sz w:val="24"/>
          <w:szCs w:val="24"/>
          <w:lang w:val="it-IT"/>
        </w:rPr>
        <w:t>IN QUALITA’ DI</w:t>
      </w:r>
    </w:p>
    <w:p>
      <w:pPr>
        <w:pStyle w:val="Sche3"/>
        <w:widowControl/>
        <w:spacing w:lineRule="auto" w:line="276"/>
        <w:jc w:val="center"/>
        <w:rPr>
          <w:rFonts w:cs="Tahoma" w:ascii="Garamond" w:hAnsi="Garamond"/>
          <w:sz w:val="24"/>
          <w:szCs w:val="24"/>
          <w:lang w:val="it-IT"/>
        </w:rPr>
      </w:pPr>
      <w:r>
        <w:rPr>
          <w:rFonts w:cs="Tahoma" w:ascii="Garamond" w:hAnsi="Garamond"/>
          <w:sz w:val="24"/>
          <w:szCs w:val="24"/>
          <w:lang w:val="it-IT"/>
        </w:rPr>
      </w:r>
    </w:p>
    <w:p>
      <w:pPr>
        <w:pStyle w:val="Sche3"/>
        <w:widowControl/>
        <w:spacing w:lineRule="auto" w:line="276"/>
        <w:jc w:val="center"/>
        <w:rPr>
          <w:rFonts w:cs="Tahoma" w:ascii="Garamond" w:hAnsi="Garamond"/>
          <w:sz w:val="24"/>
          <w:szCs w:val="24"/>
          <w:lang w:val="it-IT"/>
        </w:rPr>
      </w:pPr>
      <w:r>
        <w:rPr>
          <w:rFonts w:cs="Tahoma" w:ascii="Garamond" w:hAnsi="Garamond"/>
          <w:sz w:val="24"/>
          <w:szCs w:val="24"/>
          <w:lang w:val="it-IT"/>
        </w:rPr>
        <w:t>AUSILIARIA del concorrente________________________________</w:t>
      </w:r>
    </w:p>
    <w:p>
      <w:pPr>
        <w:pStyle w:val="Sche3"/>
        <w:widowControl/>
        <w:jc w:val="center"/>
        <w:rPr>
          <w:rFonts w:cs="Tahoma" w:ascii="Garamond" w:hAnsi="Garamond"/>
          <w:sz w:val="24"/>
          <w:szCs w:val="24"/>
          <w:u w:val="single"/>
          <w:lang w:val="it-IT"/>
        </w:rPr>
      </w:pPr>
      <w:r>
        <w:rPr>
          <w:rFonts w:cs="Tahoma" w:ascii="Garamond" w:hAnsi="Garamond"/>
          <w:sz w:val="24"/>
          <w:szCs w:val="24"/>
          <w:u w:val="single"/>
          <w:lang w:val="it-IT"/>
        </w:rPr>
      </w:r>
    </w:p>
    <w:p>
      <w:pPr>
        <w:pStyle w:val="Sche3"/>
        <w:widowControl/>
        <w:jc w:val="center"/>
        <w:rPr>
          <w:rFonts w:cs="Tahoma" w:ascii="Garamond" w:hAnsi="Garamond"/>
          <w:sz w:val="24"/>
          <w:szCs w:val="24"/>
          <w:lang w:val="it-IT"/>
        </w:rPr>
      </w:pPr>
      <w:r>
        <w:rPr>
          <w:rFonts w:cs="Tahoma" w:ascii="Garamond" w:hAnsi="Garamond"/>
          <w:sz w:val="24"/>
          <w:szCs w:val="24"/>
          <w:lang w:val="it-IT"/>
        </w:rPr>
        <w:t xml:space="preserve">DICHIARA </w:t>
      </w:r>
    </w:p>
    <w:p>
      <w:pPr>
        <w:pStyle w:val="Sche3"/>
        <w:widowControl/>
        <w:jc w:val="center"/>
        <w:rPr>
          <w:rFonts w:cs="Tahoma" w:ascii="Garamond" w:hAnsi="Garamond"/>
          <w:sz w:val="24"/>
          <w:szCs w:val="24"/>
          <w:u w:val="single"/>
          <w:lang w:val="it-IT"/>
        </w:rPr>
      </w:pPr>
      <w:r>
        <w:rPr>
          <w:rFonts w:cs="Tahoma" w:ascii="Garamond" w:hAnsi="Garamond"/>
          <w:sz w:val="24"/>
          <w:szCs w:val="24"/>
          <w:u w:val="single"/>
          <w:lang w:val="it-IT"/>
        </w:rPr>
      </w:r>
    </w:p>
    <w:p>
      <w:pPr>
        <w:pStyle w:val="Sche3"/>
        <w:jc w:val="center"/>
        <w:rPr>
          <w:rFonts w:cs="Tahoma" w:ascii="Garamond" w:hAnsi="Garamond"/>
          <w:sz w:val="24"/>
          <w:szCs w:val="24"/>
          <w:u w:val="single"/>
          <w:lang w:val="it-IT"/>
        </w:rPr>
      </w:pPr>
      <w:r>
        <w:rPr>
          <w:rFonts w:cs="Tahoma" w:ascii="Garamond" w:hAnsi="Garamond"/>
          <w:sz w:val="24"/>
          <w:szCs w:val="24"/>
          <w:u w:val="single"/>
          <w:lang w:val="it-IT"/>
        </w:rPr>
        <w:t>(barrare le caselle che corrispondono al vero e completare)</w:t>
      </w:r>
    </w:p>
    <w:p>
      <w:pPr>
        <w:pStyle w:val="Sche3"/>
        <w:jc w:val="center"/>
        <w:rPr>
          <w:rFonts w:cs="Tahoma" w:ascii="Garamond" w:hAnsi="Garamond"/>
          <w:i/>
          <w:sz w:val="24"/>
          <w:szCs w:val="24"/>
          <w:lang w:val="it-IT"/>
        </w:rPr>
      </w:pPr>
      <w:r>
        <w:rPr>
          <w:rFonts w:cs="Tahoma" w:ascii="Garamond" w:hAnsi="Garamond"/>
          <w:i/>
          <w:sz w:val="24"/>
          <w:szCs w:val="24"/>
          <w:lang w:val="it-IT"/>
        </w:rPr>
      </w:r>
    </w:p>
    <w:p>
      <w:pPr>
        <w:pStyle w:val="Sche3"/>
        <w:jc w:val="center"/>
        <w:rPr>
          <w:rFonts w:cs="Tahoma" w:ascii="Garamond" w:hAnsi="Garamond"/>
          <w:i/>
          <w:sz w:val="24"/>
          <w:szCs w:val="24"/>
          <w:lang w:val="it-IT"/>
        </w:rPr>
      </w:pPr>
      <w:r>
        <w:rPr>
          <w:rFonts w:cs="Tahoma" w:ascii="Garamond" w:hAnsi="Garamond"/>
          <w:i/>
          <w:sz w:val="24"/>
          <w:szCs w:val="24"/>
          <w:lang w:val="it-IT"/>
        </w:rPr>
      </w:r>
    </w:p>
    <w:p>
      <w:pPr>
        <w:pStyle w:val="Normal"/>
        <w:widowControl w:val="false"/>
        <w:tabs>
          <w:tab w:val="left" w:pos="-31226" w:leader="none"/>
        </w:tabs>
        <w:ind w:left="454" w:right="0" w:hanging="0"/>
        <w:jc w:val="both"/>
        <w:rPr>
          <w:rFonts w:eastAsia="Tahoma" w:cs="Tahoma" w:ascii="Garamond" w:hAnsi="Garamond"/>
          <w:b/>
          <w:szCs w:val="24"/>
        </w:rPr>
      </w:pPr>
      <w:r>
        <w:rPr>
          <w:rFonts w:eastAsia="Tahoma" w:cs="Tahoma" w:ascii="Garamond" w:hAnsi="Garamond"/>
          <w:b/>
          <w:szCs w:val="24"/>
        </w:rPr>
        <w:t>PARTE III DEL DGUE – Motivi di esclusione (Art. 80 del D. Lgs. 50/2016)</w:t>
      </w:r>
    </w:p>
    <w:p>
      <w:pPr>
        <w:pStyle w:val="Normal"/>
        <w:widowControl w:val="false"/>
        <w:tabs>
          <w:tab w:val="left" w:pos="-31226" w:leader="none"/>
        </w:tabs>
        <w:ind w:left="454" w:right="0" w:hanging="0"/>
        <w:jc w:val="both"/>
        <w:rPr>
          <w:rFonts w:ascii="Garamond" w:hAnsi="Garamond"/>
          <w:szCs w:val="24"/>
        </w:rPr>
      </w:pPr>
      <w:r>
        <w:rPr>
          <w:rFonts w:ascii="Garamond" w:hAnsi="Garamond"/>
          <w:szCs w:val="24"/>
        </w:rPr>
      </w:r>
    </w:p>
    <w:p>
      <w:pPr>
        <w:pStyle w:val="Normal"/>
        <w:widowControl w:val="false"/>
        <w:tabs>
          <w:tab w:val="left" w:pos="-31226" w:leader="none"/>
        </w:tabs>
        <w:ind w:left="454" w:right="0" w:hanging="0"/>
        <w:jc w:val="both"/>
        <w:rPr>
          <w:rFonts w:eastAsia="Tahoma" w:cs="Tahoma" w:ascii="Garamond" w:hAnsi="Garamond"/>
          <w:b/>
          <w:szCs w:val="24"/>
        </w:rPr>
      </w:pPr>
      <w:r>
        <w:rPr>
          <w:rFonts w:eastAsia="Tahoma" w:cs="Tahoma" w:ascii="Garamond" w:hAnsi="Garamond"/>
          <w:b/>
          <w:szCs w:val="24"/>
        </w:rPr>
        <w:t xml:space="preserve">- </w:t>
        <w:tab/>
        <w:t>Motivi legati a condanne penali:</w:t>
      </w:r>
    </w:p>
    <w:p>
      <w:pPr>
        <w:pStyle w:val="Normal"/>
        <w:widowControl w:val="false"/>
        <w:tabs>
          <w:tab w:val="left" w:pos="-31680" w:leader="none"/>
        </w:tabs>
        <w:jc w:val="both"/>
        <w:rPr>
          <w:rFonts w:ascii="Garamond" w:hAnsi="Garamond"/>
          <w:szCs w:val="24"/>
        </w:rPr>
      </w:pPr>
      <w:r>
        <w:rPr>
          <w:rFonts w:ascii="Garamond" w:hAnsi="Garamond"/>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ascii="Garamond" w:hAnsi="Garamond"/>
          <w:szCs w:val="24"/>
        </w:rPr>
      </w:pPr>
      <w:r>
        <w:rPr>
          <w:rFonts w:eastAsia="Tahoma" w:cs="Tahoma" w:ascii="Garamond" w:hAnsi="Garamond"/>
          <w:szCs w:val="24"/>
        </w:rPr>
        <w:t>1) I soggetti di cui all’art. 80, comma 3, del Codice</w:t>
      </w:r>
      <w:r>
        <w:rPr>
          <w:rStyle w:val="Richiamoallanotaapidipagina"/>
          <w:rFonts w:eastAsia="Tahoma" w:cs="Tahoma" w:ascii="Garamond" w:hAnsi="Garamond"/>
          <w:szCs w:val="24"/>
        </w:rPr>
        <w:footnoteReference w:id="2"/>
      </w:r>
      <w:r>
        <w:rPr>
          <w:rFonts w:eastAsia="Tahoma" w:cs="Tahoma" w:ascii="Garamond" w:hAnsi="Garamond"/>
          <w:szCs w:val="24"/>
        </w:rPr>
        <w:t>,</w:t>
      </w:r>
      <w:r>
        <w:rPr>
          <w:rFonts w:ascii="Garamond" w:hAnsi="Garamond"/>
          <w:szCs w:val="24"/>
          <w:vertAlign w:val="superscript"/>
        </w:rPr>
        <w:t xml:space="preserve">   </w:t>
      </w:r>
      <w:r>
        <w:rPr>
          <w:rFonts w:eastAsia="Tahoma" w:cs="Tahoma" w:ascii="Garamond" w:hAnsi="Garamond"/>
          <w:szCs w:val="24"/>
        </w:rPr>
        <w:t>sono i seguenti (</w:t>
      </w:r>
      <w:r>
        <w:rPr>
          <w:rFonts w:eastAsia="Tahoma" w:cs="Tahoma" w:ascii="Garamond" w:hAnsi="Garamond"/>
          <w:i/>
          <w:szCs w:val="24"/>
        </w:rPr>
        <w:t>indicare anche i soggetti cessati dalla carica nell’anno antecedente la data di pubblicazione del bando di gara specificando la data cessazione e carica ricoperta fino alla cessazione</w:t>
      </w:r>
      <w:r>
        <w:rPr>
          <w:rFonts w:eastAsia="Tahoma" w:cs="Tahoma" w:ascii="Garamond" w:hAnsi="Garamond"/>
          <w:szCs w:val="24"/>
        </w:rPr>
        <w:t>):</w:t>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sz w:val="22"/>
          <w:lang w:eastAsia="it-IT"/>
        </w:rPr>
      </w:pPr>
      <w:r>
        <w:rPr>
          <w:rFonts w:cs="Tahoma" w:ascii="Garamond" w:hAnsi="Garamond"/>
          <w:sz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sz w:val="22"/>
          <w:lang w:eastAsia="it-IT"/>
        </w:rPr>
      </w:pPr>
      <w:r>
        <w:rPr>
          <w:rFonts w:cs="Tahoma" w:ascii="Garamond" w:hAnsi="Garamond"/>
          <w:sz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sz w:val="22"/>
          <w:lang w:eastAsia="it-IT"/>
        </w:rPr>
      </w:pPr>
      <w:r>
        <w:rPr>
          <w:rFonts w:cs="Tahoma" w:ascii="Garamond" w:hAnsi="Garamond"/>
          <w:sz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ascii="Garamond" w:hAnsi="Garamond"/>
          <w:sz w:val="22"/>
          <w:lang w:eastAsia="it-IT"/>
        </w:rPr>
      </w:pPr>
      <w:r>
        <w:rPr>
          <w:rFonts w:cs="Tahoma" w:ascii="Garamond" w:hAnsi="Garamond"/>
          <w:sz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31680" w:leader="none"/>
        </w:tabs>
        <w:jc w:val="both"/>
        <w:rPr>
          <w:rFonts w:ascii="Garamond" w:hAnsi="Garamond"/>
          <w:szCs w:val="24"/>
        </w:rPr>
      </w:pPr>
      <w:r>
        <w:rPr>
          <w:rFonts w:ascii="Garamond" w:hAnsi="Garamond"/>
          <w:szCs w:val="24"/>
        </w:rPr>
      </w:r>
    </w:p>
    <w:p>
      <w:pPr>
        <w:pStyle w:val="Normal"/>
        <w:tabs>
          <w:tab w:val="left" w:pos="1645" w:leader="none"/>
          <w:tab w:val="left" w:pos="2637" w:leader="none"/>
        </w:tabs>
        <w:spacing w:lineRule="auto" w:line="360"/>
        <w:ind w:left="1361" w:right="0" w:hanging="227"/>
        <w:jc w:val="both"/>
        <w:rPr>
          <w:rFonts w:eastAsia="Tahoma" w:cs="Tahoma" w:ascii="Garamond" w:hAnsi="Garamond"/>
          <w:szCs w:val="24"/>
        </w:rPr>
      </w:pPr>
      <w:r>
        <w:rPr>
          <w:rFonts w:eastAsia="Tahoma" w:cs="Tahoma" w:ascii="Garamond" w:hAnsi="Garamond"/>
          <w:szCs w:val="24"/>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ascii="Garamond" w:hAnsi="Garamond"/>
          <w:szCs w:val="24"/>
        </w:rPr>
      </w:pPr>
      <w:r>
        <w:rPr>
          <w:rFonts w:eastAsia="Tahoma" w:cs="Tahoma" w:ascii="Garamond" w:hAnsi="Garamond"/>
          <w:szCs w:val="24"/>
        </w:rPr>
      </w:r>
    </w:p>
    <w:p>
      <w:pPr>
        <w:pStyle w:val="Normal"/>
        <w:tabs>
          <w:tab w:val="left" w:pos="1588" w:leader="none"/>
          <w:tab w:val="left" w:pos="2580" w:leader="none"/>
        </w:tabs>
        <w:ind w:left="1304" w:right="0" w:hanging="0"/>
        <w:jc w:val="both"/>
        <w:rPr>
          <w:rFonts w:ascii="Garamond" w:hAnsi="Garamond"/>
          <w:szCs w:val="24"/>
        </w:rPr>
      </w:pPr>
      <w:r>
        <w:rPr>
          <w:rFonts w:eastAsia="Tahoma" w:cs="Tahoma" w:ascii="Garamond" w:hAnsi="Garamond"/>
          <w:szCs w:val="24"/>
        </w:rPr>
        <w:t xml:space="preserve">- False comunicazioni sociali di cui agli articoli 2621 e 2622 del codice civile (Art. 80, comma 1, let. b-bis) del Codice:   </w:t>
      </w:r>
      <w:r>
        <w:rPr>
          <w:rFonts w:ascii="Garamond" w:hAnsi="Garamond"/>
          <w:szCs w:val="24"/>
        </w:rPr>
        <w:t xml:space="preserve">   </w:t>
      </w:r>
      <w:r>
        <w:rPr>
          <w:rFonts w:eastAsia="Symbol" w:cs="Symbol" w:ascii="Symbol" w:hAnsi="Symbol"/>
          <w:szCs w:val="24"/>
        </w:rPr>
        <w:t></w:t>
      </w:r>
      <w:r>
        <w:rPr>
          <w:rFonts w:ascii="Garamond" w:hAnsi="Garamond"/>
          <w:szCs w:val="24"/>
        </w:rPr>
        <w:t xml:space="preserve">   SI             </w:t>
      </w:r>
      <w:r>
        <w:rPr>
          <w:rFonts w:eastAsia="Symbol" w:cs="Symbol" w:ascii="Symbol" w:hAnsi="Symbol"/>
          <w:szCs w:val="24"/>
        </w:rPr>
        <w:t></w:t>
      </w:r>
      <w:r>
        <w:rPr>
          <w:rFonts w:ascii="Garamond" w:hAnsi="Garamond"/>
          <w:szCs w:val="24"/>
        </w:rPr>
        <w:t xml:space="preserve">   NO</w:t>
      </w:r>
    </w:p>
    <w:p>
      <w:pPr>
        <w:pStyle w:val="Normal"/>
        <w:tabs>
          <w:tab w:val="left" w:pos="1588" w:leader="none"/>
          <w:tab w:val="left" w:pos="2580" w:leader="none"/>
        </w:tabs>
        <w:ind w:left="1304" w:right="0" w:hanging="0"/>
        <w:jc w:val="both"/>
        <w:rPr>
          <w:rFonts w:ascii="Garamond" w:hAnsi="Garamond"/>
          <w:szCs w:val="24"/>
        </w:rPr>
      </w:pPr>
      <w:r>
        <w:rPr>
          <w:rFonts w:ascii="Garamond" w:hAnsi="Garamond"/>
          <w:szCs w:val="24"/>
        </w:rPr>
      </w:r>
    </w:p>
    <w:p>
      <w:pPr>
        <w:pStyle w:val="Normal"/>
        <w:widowControl w:val="false"/>
        <w:tabs>
          <w:tab w:val="left" w:pos="-14476" w:leader="none"/>
          <w:tab w:val="left" w:pos="-13484" w:leader="none"/>
        </w:tabs>
        <w:spacing w:lineRule="auto" w:line="360"/>
        <w:ind w:left="1304" w:right="0" w:hanging="0"/>
        <w:jc w:val="both"/>
        <w:rPr>
          <w:rFonts w:eastAsia="Tahoma" w:cs="Tahoma" w:ascii="Garamond" w:hAnsi="Garamond"/>
          <w:szCs w:val="24"/>
        </w:rPr>
      </w:pPr>
      <w:r>
        <w:rPr>
          <w:rFonts w:eastAsia="Tahoma" w:cs="Tahoma" w:ascii="Garamond" w:hAnsi="Garamond"/>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ascii="Garamond" w:hAnsi="Garamond"/>
          <w:szCs w:val="24"/>
        </w:rPr>
      </w:pPr>
      <w:r>
        <w:rPr>
          <w:rFonts w:eastAsia="Tahoma" w:cs="Tahoma" w:ascii="Garamond" w:hAnsi="Garamond"/>
          <w:szCs w:val="24"/>
        </w:rPr>
        <w:t xml:space="preserve"> </w:t>
      </w:r>
      <w:r>
        <w:rPr>
          <w:rFonts w:eastAsia="Tahoma" w:cs="Tahoma" w:ascii="Garamond" w:hAnsi="Garamond"/>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rPr>
          <w:rFonts w:eastAsia="Tahoma" w:cs="Tahoma" w:ascii="Garamond" w:hAnsi="Garamond"/>
          <w:szCs w:val="24"/>
        </w:rPr>
      </w:pPr>
      <w:r>
        <w:rPr>
          <w:rFonts w:eastAsia="Tahoma" w:cs="Tahoma" w:ascii="Garamond" w:hAnsi="Garamond"/>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ascii="Garamond" w:hAnsi="Garamond"/>
          <w:szCs w:val="24"/>
        </w:rPr>
      </w:pPr>
      <w:r>
        <w:rPr>
          <w:rFonts w:eastAsia="Tahoma" w:cs="Tahoma" w:ascii="Garamond" w:hAnsi="Garamond"/>
          <w:szCs w:val="24"/>
        </w:rPr>
        <w:t>se stabilita direttamente nella sentenza di condanna, la durata della pena accessoria: durata del periodo di esclusione_____________________________________________</w:t>
      </w:r>
      <w:r>
        <w:rPr>
          <w:rFonts w:ascii="Garamond" w:hAnsi="Garamond"/>
          <w:szCs w:val="24"/>
        </w:rPr>
        <w:t>___</w:t>
      </w:r>
    </w:p>
    <w:p>
      <w:pPr>
        <w:pStyle w:val="Normal"/>
        <w:widowControl w:val="false"/>
        <w:tabs>
          <w:tab w:val="left" w:pos="-31226" w:leader="none"/>
        </w:tabs>
        <w:ind w:left="454" w:right="0" w:hanging="0"/>
        <w:jc w:val="both"/>
        <w:rPr>
          <w:rFonts w:ascii="Garamond" w:hAnsi="Garamond"/>
          <w:szCs w:val="24"/>
        </w:rPr>
      </w:pPr>
      <w:r>
        <w:rPr>
          <w:rFonts w:ascii="Garamond" w:hAnsi="Garamond"/>
          <w:szCs w:val="24"/>
        </w:rPr>
      </w:r>
    </w:p>
    <w:p>
      <w:pPr>
        <w:pStyle w:val="Normal"/>
        <w:widowControl w:val="false"/>
        <w:tabs>
          <w:tab w:val="left" w:pos="-31226" w:leader="none"/>
        </w:tabs>
        <w:ind w:left="454" w:right="0" w:hanging="0"/>
        <w:jc w:val="both"/>
        <w:rPr>
          <w:rFonts w:eastAsia="Tahoma" w:cs="Cambria" w:ascii="Garamond" w:hAnsi="Garamond"/>
          <w:b/>
          <w:szCs w:val="24"/>
        </w:rPr>
      </w:pPr>
      <w:r>
        <w:rPr>
          <w:rFonts w:eastAsia="Tahoma" w:cs="Cambria" w:ascii="Garamond" w:hAnsi="Garamond"/>
          <w:b/>
          <w:szCs w:val="24"/>
        </w:rPr>
        <w:t xml:space="preserve">- </w:t>
        <w:tab/>
        <w:t xml:space="preserve">Motivi di esclusione previsti esclusivamente dalla legislazione nazionale </w:t>
      </w:r>
      <w:r>
        <w:rPr>
          <w:rFonts w:eastAsia="Tahoma" w:cs="Cambria" w:ascii="Garamond" w:hAnsi="Garamond"/>
          <w:szCs w:val="24"/>
        </w:rPr>
        <w:t>(art. 80 comma 2 e comma 5, lett. f), f-bis), f-ter), g), h), i), l), m), del D. Lgs. 50/2016)</w:t>
      </w:r>
      <w:r>
        <w:rPr>
          <w:rFonts w:eastAsia="Tahoma" w:cs="Cambria" w:ascii="Garamond" w:hAnsi="Garamond"/>
          <w:b/>
          <w:szCs w:val="24"/>
        </w:rPr>
        <w:t>:</w:t>
      </w:r>
    </w:p>
    <w:p>
      <w:pPr>
        <w:pStyle w:val="Normal"/>
        <w:widowControl w:val="false"/>
        <w:tabs>
          <w:tab w:val="left" w:pos="-31680" w:leader="none"/>
        </w:tabs>
        <w:jc w:val="both"/>
        <w:rPr>
          <w:rFonts w:cs="Cambria" w:ascii="Garamond" w:hAnsi="Garamond"/>
          <w:szCs w:val="24"/>
        </w:rPr>
      </w:pPr>
      <w:r>
        <w:rPr>
          <w:rFonts w:cs="Cambria" w:ascii="Garamond" w:hAnsi="Garamond"/>
          <w:szCs w:val="24"/>
        </w:rPr>
      </w:r>
    </w:p>
    <w:p>
      <w:pPr>
        <w:pStyle w:val="Normal"/>
        <w:widowControl w:val="false"/>
        <w:tabs>
          <w:tab w:val="left" w:pos="-31680" w:leader="none"/>
        </w:tabs>
        <w:ind w:left="360" w:right="0" w:hanging="0"/>
        <w:rPr>
          <w:rFonts w:eastAsia="Tahoma" w:cs="Cambria" w:ascii="Garamond" w:hAnsi="Garamond"/>
          <w:szCs w:val="24"/>
        </w:rPr>
      </w:pPr>
      <w:r>
        <w:rPr>
          <w:rFonts w:eastAsia="Tahoma" w:cs="Cambria" w:ascii="Garamond" w:hAnsi="Garamond"/>
          <w:szCs w:val="24"/>
        </w:rPr>
      </w:r>
    </w:p>
    <w:p>
      <w:pPr>
        <w:pStyle w:val="Normal"/>
        <w:numPr>
          <w:ilvl w:val="0"/>
          <w:numId w:val="1"/>
        </w:numPr>
        <w:tabs>
          <w:tab w:val="left" w:pos="1588" w:leader="none"/>
          <w:tab w:val="left" w:pos="2580" w:leader="none"/>
        </w:tabs>
        <w:ind w:left="1304" w:right="0" w:hanging="360"/>
        <w:jc w:val="both"/>
        <w:rPr>
          <w:rFonts w:eastAsia="Tahoma" w:cs="Cambria" w:ascii="Garamond" w:hAnsi="Garamond"/>
          <w:szCs w:val="24"/>
        </w:rPr>
      </w:pPr>
      <w:r>
        <w:rPr>
          <w:rFonts w:eastAsia="Tahoma" w:cs="Cambria" w:ascii="Garamond" w:hAnsi="Garamond"/>
          <w:szCs w:val="24"/>
        </w:rPr>
        <w:t xml:space="preserve"> </w:t>
      </w:r>
      <w:r>
        <w:rPr>
          <w:rFonts w:eastAsia="Tahoma" w:cs="Cambria" w:ascii="Garamond" w:hAnsi="Garamond"/>
          <w:szCs w:val="24"/>
        </w:rPr>
        <w:t>Sussistono a carico dei soggetti indicati al comma 3</w:t>
      </w:r>
      <w:r>
        <w:rPr>
          <w:rFonts w:eastAsia="Tahoma" w:cs="Cambria" w:ascii="Garamond" w:hAnsi="Garamond"/>
          <w:szCs w:val="24"/>
          <w:vertAlign w:val="superscript"/>
        </w:rPr>
        <w:t>3</w:t>
      </w:r>
      <w:r>
        <w:rPr>
          <w:rFonts w:eastAsia="Tahoma" w:cs="Cambria" w:ascii="Garamond" w:hAnsi="Garamond"/>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pPr>
        <w:pStyle w:val="Normal"/>
        <w:tabs>
          <w:tab w:val="left" w:pos="1588" w:leader="none"/>
          <w:tab w:val="left" w:pos="2580" w:leader="none"/>
        </w:tabs>
        <w:ind w:left="1304" w:right="0" w:hanging="0"/>
        <w:jc w:val="both"/>
        <w:rPr>
          <w:rFonts w:eastAsia="Tahoma" w:cs="Cambria" w:ascii="Garamond" w:hAnsi="Garamond"/>
          <w:sz w:val="24"/>
          <w:szCs w:val="24"/>
        </w:rPr>
      </w:pPr>
      <w:r>
        <w:rPr>
          <w:rFonts w:eastAsia="Tahoma" w:cs="Tahoma" w:ascii="Garamond" w:hAnsi="Garamond"/>
          <w:sz w:val="24"/>
          <w:szCs w:val="24"/>
        </w:rPr>
        <w:t xml:space="preserve">   </w:t>
      </w:r>
      <w:r>
        <w:rPr>
          <w:rFonts w:eastAsia="Tahoma" w:cs="Cambria" w:ascii="Garamond" w:hAnsi="Garamond"/>
          <w:sz w:val="24"/>
          <w:szCs w:val="24"/>
        </w:rPr>
        <w:t xml:space="preserve">   </w:t>
      </w:r>
      <w:r>
        <w:rPr>
          <w:rFonts w:eastAsia="Symbol" w:cs="Symbol" w:ascii="Garamond" w:hAnsi="Garamond"/>
          <w:sz w:val="24"/>
          <w:szCs w:val="24"/>
        </w:rPr>
        <w:t></w:t>
      </w:r>
      <w:r>
        <w:rPr>
          <w:rFonts w:eastAsia="Tahoma" w:cs="Cambria" w:ascii="Garamond" w:hAnsi="Garamond"/>
          <w:sz w:val="24"/>
          <w:szCs w:val="24"/>
        </w:rPr>
        <w:t xml:space="preserve">   </w:t>
      </w:r>
      <w:r>
        <w:rPr>
          <w:rFonts w:eastAsia="Tahoma" w:cs="Cambria" w:ascii="Garamond" w:hAnsi="Garamond"/>
          <w:sz w:val="24"/>
          <w:szCs w:val="24"/>
        </w:rPr>
        <w:t xml:space="preserve">SI             </w:t>
      </w:r>
      <w:r>
        <w:rPr>
          <w:rFonts w:eastAsia="Symbol" w:cs="Symbol" w:ascii="Garamond" w:hAnsi="Garamond"/>
          <w:sz w:val="24"/>
          <w:szCs w:val="24"/>
        </w:rPr>
        <w:t></w:t>
      </w:r>
      <w:r>
        <w:rPr>
          <w:rFonts w:eastAsia="Tahoma" w:cs="Cambria" w:ascii="Garamond" w:hAnsi="Garamond"/>
          <w:sz w:val="24"/>
          <w:szCs w:val="24"/>
        </w:rPr>
        <w:t xml:space="preserve">   NO</w:t>
      </w:r>
    </w:p>
    <w:p>
      <w:pPr>
        <w:pStyle w:val="Normal"/>
        <w:tabs>
          <w:tab w:val="left" w:pos="1588" w:leader="none"/>
          <w:tab w:val="left" w:pos="2580" w:leader="none"/>
        </w:tabs>
        <w:ind w:left="1304" w:right="0" w:hanging="0"/>
        <w:jc w:val="both"/>
        <w:rPr>
          <w:rFonts w:eastAsia="Tahoma" w:cs="Cambria" w:ascii="Garamond" w:hAnsi="Garamond"/>
          <w:szCs w:val="24"/>
        </w:rPr>
      </w:pPr>
      <w:r>
        <w:rPr>
          <w:rFonts w:eastAsia="Tahoma" w:cs="Cambria" w:ascii="Garamond" w:hAnsi="Garamond"/>
          <w:szCs w:val="24"/>
        </w:rPr>
      </w:r>
    </w:p>
    <w:p>
      <w:pPr>
        <w:pStyle w:val="Normal"/>
        <w:tabs>
          <w:tab w:val="left" w:pos="1588" w:leader="none"/>
          <w:tab w:val="left" w:pos="2580" w:leader="none"/>
        </w:tabs>
        <w:ind w:left="1304" w:right="0" w:hanging="0"/>
        <w:jc w:val="both"/>
        <w:rPr>
          <w:rFonts w:eastAsia="Tahoma" w:cs="Cambria" w:ascii="Garamond" w:hAnsi="Garamond"/>
          <w:szCs w:val="24"/>
        </w:rPr>
      </w:pPr>
      <w:r>
        <w:rPr>
          <w:rFonts w:eastAsia="Tahoma" w:cs="Cambria" w:ascii="Garamond" w:hAnsi="Garamond"/>
          <w:szCs w:val="24"/>
        </w:rPr>
        <w:t>L’operatore economico si trova in una delle seguenti situazioni?</w:t>
      </w:r>
    </w:p>
    <w:p>
      <w:pPr>
        <w:pStyle w:val="Normal"/>
        <w:tabs>
          <w:tab w:val="left" w:pos="1588" w:leader="none"/>
          <w:tab w:val="left" w:pos="2580" w:leader="none"/>
        </w:tabs>
        <w:ind w:left="1304" w:right="0" w:hanging="0"/>
        <w:jc w:val="both"/>
        <w:rPr>
          <w:rFonts w:cs="Cambria" w:ascii="Garamond" w:hAnsi="Garamond"/>
        </w:rPr>
      </w:pPr>
      <w:r>
        <w:rPr>
          <w:rFonts w:cs="Cambria" w:ascii="Garamond" w:hAnsi="Garamond"/>
        </w:rPr>
      </w:r>
    </w:p>
    <w:p>
      <w:pPr>
        <w:pStyle w:val="Normal"/>
        <w:numPr>
          <w:ilvl w:val="0"/>
          <w:numId w:val="1"/>
        </w:numPr>
        <w:tabs>
          <w:tab w:val="left" w:pos="1588" w:leader="none"/>
          <w:tab w:val="left" w:pos="2580" w:leader="none"/>
        </w:tabs>
        <w:ind w:left="1304" w:right="0" w:hanging="360"/>
        <w:jc w:val="both"/>
        <w:rPr>
          <w:rFonts w:eastAsia="Tahoma" w:cs="Cambria" w:ascii="Garamond" w:hAnsi="Garamond"/>
          <w:szCs w:val="24"/>
        </w:rPr>
      </w:pPr>
      <w:r>
        <w:rPr>
          <w:rFonts w:eastAsia="Tahoma" w:cs="Cambria" w:ascii="Garamond" w:hAnsi="Garamond"/>
          <w:szCs w:val="24"/>
        </w:rPr>
        <w:t xml:space="preserve"> </w:t>
      </w:r>
      <w:r>
        <w:rPr>
          <w:rFonts w:eastAsia="Tahoma" w:cs="Cambria" w:ascii="Garamond" w:hAnsi="Garamond"/>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mbria" w:ascii="Garamond" w:hAnsi="Garamond"/>
          <w:color w:val="00000A"/>
          <w:szCs w:val="24"/>
          <w:u w:val="none"/>
        </w:rPr>
        <w:t>articolo 9, comma 2, lettera c) del decreto legislativo 8 giugno 2001, n. 231</w:t>
      </w:r>
      <w:r>
        <w:fldChar w:fldCharType="end"/>
      </w:r>
      <w:r>
        <w:rPr>
          <w:rFonts w:eastAsia="Tahoma" w:cs="Cambria" w:ascii="Garamond" w:hAnsi="Garamond"/>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mbria" w:ascii="Garamond" w:hAnsi="Garamond"/>
          <w:color w:val="00000A"/>
          <w:szCs w:val="24"/>
          <w:u w:val="none"/>
        </w:rPr>
        <w:t>articolo 14 del decreto legislativo 9 aprile 2008, n. 81</w:t>
      </w:r>
      <w:r>
        <w:fldChar w:fldCharType="end"/>
      </w:r>
      <w:r>
        <w:rPr>
          <w:rFonts w:eastAsia="Tahoma" w:cs="Cambria" w:ascii="Garamond" w:hAnsi="Garamond"/>
          <w:szCs w:val="24"/>
        </w:rPr>
        <w:t xml:space="preserve"> (Articolo 80, comma 5, lettera </w:t>
      </w:r>
      <w:r>
        <w:rPr>
          <w:rFonts w:eastAsia="Tahoma" w:cs="Cambria" w:ascii="Garamond" w:hAnsi="Garamond"/>
          <w:i/>
          <w:szCs w:val="24"/>
        </w:rPr>
        <w:t>f)</w:t>
      </w:r>
      <w:r>
        <w:rPr>
          <w:rFonts w:eastAsia="Tahoma" w:cs="Cambria" w:ascii="Garamond" w:hAnsi="Garamond"/>
          <w:szCs w:val="24"/>
        </w:rPr>
        <w:t xml:space="preserve"> (Art. 80, comma 5, lettera f-bis)?:</w:t>
      </w:r>
    </w:p>
    <w:p>
      <w:pPr>
        <w:pStyle w:val="Normal"/>
        <w:tabs>
          <w:tab w:val="left" w:pos="1588" w:leader="none"/>
          <w:tab w:val="left" w:pos="2580" w:leader="none"/>
        </w:tabs>
        <w:ind w:left="1304" w:right="0" w:hanging="0"/>
        <w:jc w:val="both"/>
        <w:rPr>
          <w:rFonts w:cs="Cambria" w:ascii="Garamond" w:hAnsi="Garamond"/>
          <w:sz w:val="24"/>
          <w:szCs w:val="24"/>
        </w:rPr>
      </w:pPr>
      <w:r>
        <w:rPr>
          <w:rFonts w:eastAsia="Tahoma" w:cs="Tahoma" w:ascii="Garamond" w:hAnsi="Garamond"/>
          <w:sz w:val="24"/>
          <w:szCs w:val="24"/>
        </w:rPr>
        <w:t xml:space="preserve">   </w:t>
      </w:r>
      <w:r>
        <w:rPr>
          <w:rFonts w:cs="Cambria" w:ascii="Garamond" w:hAnsi="Garamond"/>
          <w:sz w:val="24"/>
          <w:szCs w:val="24"/>
        </w:rPr>
        <w:t xml:space="preserve">   </w:t>
      </w:r>
      <w:r>
        <w:rPr>
          <w:rFonts w:eastAsia="Symbol" w:cs="Symbol" w:ascii="Garamond" w:hAnsi="Garamond"/>
          <w:sz w:val="24"/>
          <w:szCs w:val="24"/>
        </w:rPr>
        <w:t></w:t>
      </w:r>
      <w:r>
        <w:rPr>
          <w:rFonts w:cs="Cambria" w:ascii="Garamond" w:hAnsi="Garamond"/>
          <w:sz w:val="24"/>
          <w:szCs w:val="24"/>
        </w:rPr>
        <w:t xml:space="preserve">   </w:t>
      </w:r>
      <w:r>
        <w:rPr>
          <w:rFonts w:cs="Cambria" w:ascii="Garamond" w:hAnsi="Garamond"/>
          <w:sz w:val="24"/>
          <w:szCs w:val="24"/>
        </w:rPr>
        <w:t xml:space="preserve">SI             </w:t>
      </w:r>
      <w:r>
        <w:rPr>
          <w:rFonts w:eastAsia="Symbol" w:cs="Symbol" w:ascii="Garamond" w:hAnsi="Garamond"/>
          <w:sz w:val="24"/>
          <w:szCs w:val="24"/>
        </w:rPr>
        <w:t></w:t>
      </w:r>
      <w:r>
        <w:rPr>
          <w:rFonts w:cs="Cambria" w:ascii="Garamond" w:hAnsi="Garamond"/>
          <w:sz w:val="24"/>
          <w:szCs w:val="24"/>
        </w:rPr>
        <w:t xml:space="preserve">   NO</w:t>
      </w:r>
    </w:p>
    <w:p>
      <w:pPr>
        <w:pStyle w:val="Normal"/>
        <w:tabs>
          <w:tab w:val="left" w:pos="1588" w:leader="none"/>
          <w:tab w:val="left" w:pos="2580" w:leader="none"/>
        </w:tabs>
        <w:ind w:left="1304" w:right="0" w:hanging="0"/>
        <w:jc w:val="both"/>
        <w:rPr>
          <w:rFonts w:cs="Cambria" w:ascii="Cambria" w:hAnsi="Cambria"/>
        </w:rPr>
      </w:pPr>
      <w:r>
        <w:rPr>
          <w:rFonts w:cs="Cambria" w:ascii="Cambria" w:hAnsi="Cambria"/>
        </w:rPr>
      </w:r>
    </w:p>
    <w:p>
      <w:pPr>
        <w:pStyle w:val="Normal"/>
        <w:widowControl w:val="false"/>
        <w:tabs>
          <w:tab w:val="left" w:pos="-14930" w:leader="none"/>
          <w:tab w:val="left" w:pos="-13938" w:leader="none"/>
        </w:tabs>
        <w:ind w:left="850" w:right="0" w:hanging="0"/>
        <w:jc w:val="left"/>
        <w:rPr>
          <w:rFonts w:cs="Cambria" w:ascii="Garamond" w:hAnsi="Garamond"/>
          <w:szCs w:val="24"/>
        </w:rPr>
      </w:pPr>
      <w:r>
        <w:rPr>
          <w:rFonts w:cs="Cambria" w:ascii="Garamond" w:hAnsi="Garamond"/>
          <w:szCs w:val="24"/>
        </w:rPr>
      </w:r>
    </w:p>
    <w:p>
      <w:pPr>
        <w:pStyle w:val="Normal"/>
        <w:tabs>
          <w:tab w:val="left" w:pos="1588" w:leader="none"/>
          <w:tab w:val="left" w:pos="2580" w:leader="none"/>
        </w:tabs>
        <w:ind w:left="1304" w:right="0" w:hanging="0"/>
        <w:jc w:val="both"/>
        <w:rPr>
          <w:rFonts w:cs="Cambria" w:ascii="Garamond" w:hAnsi="Garamond"/>
        </w:rPr>
      </w:pPr>
      <w:r>
        <w:rPr>
          <w:rFonts w:cs="Cambria" w:ascii="Garamond" w:hAnsi="Garamond"/>
        </w:rPr>
      </w:r>
    </w:p>
    <w:p>
      <w:pPr>
        <w:pStyle w:val="Normal"/>
        <w:numPr>
          <w:ilvl w:val="0"/>
          <w:numId w:val="1"/>
        </w:numPr>
        <w:tabs>
          <w:tab w:val="left" w:pos="1588" w:leader="none"/>
          <w:tab w:val="left" w:pos="2580" w:leader="none"/>
        </w:tabs>
        <w:ind w:left="1304" w:right="0" w:hanging="360"/>
        <w:jc w:val="both"/>
        <w:rPr>
          <w:rFonts w:eastAsia="Tahoma" w:cs="Cambria" w:ascii="Garamond" w:hAnsi="Garamond"/>
          <w:szCs w:val="24"/>
        </w:rPr>
      </w:pPr>
      <w:r>
        <w:rPr>
          <w:rFonts w:eastAsia="Tahoma" w:cs="Cambria" w:ascii="Garamond" w:hAnsi="Garamond"/>
          <w:szCs w:val="24"/>
        </w:rPr>
        <w:t xml:space="preserve"> </w:t>
      </w:r>
      <w:r>
        <w:rPr>
          <w:rFonts w:eastAsia="Tahoma" w:cs="Cambria" w:ascii="Garamond" w:hAnsi="Garamond"/>
          <w:szCs w:val="24"/>
        </w:rPr>
        <w:t>Ha presentato nella procedura di gara in corso o negli affidamenti di subappalti documentazione o dichiarazioni non veritiere (Art. 80, comma 5, lettera f-bis)?:</w:t>
      </w:r>
    </w:p>
    <w:p>
      <w:pPr>
        <w:pStyle w:val="Normal"/>
        <w:widowControl w:val="false"/>
        <w:suppressLineNumbers/>
        <w:tabs>
          <w:tab w:val="left" w:pos="1588" w:leader="none"/>
          <w:tab w:val="left" w:pos="2580" w:leader="none"/>
        </w:tabs>
        <w:suppressAutoHyphens w:val="true"/>
        <w:bidi w:val="0"/>
        <w:ind w:left="1304" w:right="0" w:hanging="0"/>
        <w:jc w:val="both"/>
        <w:rPr>
          <w:rFonts w:cs="Cambria" w:ascii="Garamond" w:hAnsi="Garamond"/>
          <w:sz w:val="24"/>
          <w:szCs w:val="24"/>
        </w:rPr>
      </w:pPr>
      <w:r>
        <w:rPr>
          <w:rFonts w:eastAsia="Tahoma" w:cs="Tahoma" w:ascii="Garamond" w:hAnsi="Garamond"/>
          <w:sz w:val="24"/>
          <w:szCs w:val="24"/>
        </w:rPr>
        <w:t xml:space="preserve">   </w:t>
      </w:r>
      <w:r>
        <w:rPr>
          <w:rFonts w:cs="Cambria" w:ascii="Garamond" w:hAnsi="Garamond"/>
          <w:sz w:val="24"/>
          <w:szCs w:val="24"/>
        </w:rPr>
        <w:t xml:space="preserve">   </w:t>
      </w:r>
      <w:r>
        <w:rPr>
          <w:rFonts w:eastAsia="Symbol" w:cs="Symbol" w:ascii="Garamond" w:hAnsi="Garamond"/>
          <w:sz w:val="24"/>
          <w:szCs w:val="24"/>
        </w:rPr>
        <w:t></w:t>
      </w:r>
      <w:r>
        <w:rPr>
          <w:rFonts w:cs="Cambria" w:ascii="Garamond" w:hAnsi="Garamond"/>
          <w:sz w:val="24"/>
          <w:szCs w:val="24"/>
        </w:rPr>
        <w:t xml:space="preserve">   </w:t>
      </w:r>
      <w:r>
        <w:rPr>
          <w:rFonts w:cs="Cambria" w:ascii="Garamond" w:hAnsi="Garamond"/>
          <w:sz w:val="24"/>
          <w:szCs w:val="24"/>
        </w:rPr>
        <w:t xml:space="preserve">SI             </w:t>
      </w:r>
      <w:r>
        <w:rPr>
          <w:rFonts w:eastAsia="Symbol" w:cs="Symbol" w:ascii="Garamond" w:hAnsi="Garamond"/>
          <w:sz w:val="24"/>
          <w:szCs w:val="24"/>
        </w:rPr>
        <w:t></w:t>
      </w:r>
      <w:r>
        <w:rPr>
          <w:rFonts w:cs="Cambria" w:ascii="Garamond" w:hAnsi="Garamond"/>
          <w:sz w:val="24"/>
          <w:szCs w:val="24"/>
        </w:rPr>
        <w:t xml:space="preserve">   NO</w:t>
      </w:r>
    </w:p>
    <w:p>
      <w:pPr>
        <w:pStyle w:val="Notaapidipagina"/>
        <w:widowControl w:val="false"/>
        <w:suppressLineNumbers/>
        <w:tabs>
          <w:tab w:val="left" w:pos="-14476" w:leader="none"/>
          <w:tab w:val="left" w:pos="-13484" w:leader="none"/>
        </w:tabs>
        <w:suppressAutoHyphens w:val="true"/>
        <w:bidi w:val="0"/>
        <w:ind w:left="0" w:right="0" w:hanging="0"/>
        <w:jc w:val="both"/>
        <w:rPr>
          <w:rFonts w:cs="Cambria" w:ascii="Garamond" w:hAnsi="Garamond"/>
          <w:szCs w:val="24"/>
        </w:rPr>
      </w:pPr>
      <w:r>
        <w:rPr>
          <w:rFonts w:cs="Cambria" w:ascii="Garamond" w:hAnsi="Garamond"/>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1304" w:right="0" w:hanging="360"/>
        <w:jc w:val="both"/>
        <w:rPr>
          <w:rFonts w:eastAsia="Tahoma" w:cs="Cambria" w:ascii="Garamond" w:hAnsi="Garamond"/>
          <w:sz w:val="24"/>
          <w:szCs w:val="24"/>
        </w:rPr>
      </w:pPr>
      <w:r>
        <w:rPr>
          <w:rFonts w:eastAsia="Tahoma" w:cs="Cambria" w:ascii="Garamond" w:hAnsi="Garamond"/>
          <w:szCs w:val="24"/>
        </w:rPr>
        <w:t xml:space="preserve"> </w:t>
      </w:r>
      <w:r>
        <w:rPr>
          <w:rFonts w:eastAsia="Tahoma" w:cs="Cambria" w:ascii="Garamond" w:hAnsi="Garamond"/>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r>
        <w:rPr>
          <w:rFonts w:eastAsia="Tahoma" w:cs="Tahoma" w:ascii="Garamond" w:hAnsi="Garamond"/>
          <w:sz w:val="24"/>
          <w:szCs w:val="24"/>
        </w:rPr>
        <w:t xml:space="preserve">   </w:t>
      </w:r>
      <w:r>
        <w:rPr>
          <w:rFonts w:eastAsia="Tahoma" w:cs="Cambria" w:ascii="Garamond" w:hAnsi="Garamond"/>
          <w:sz w:val="24"/>
          <w:szCs w:val="24"/>
        </w:rPr>
        <w:t xml:space="preserve">   </w:t>
      </w:r>
      <w:r>
        <w:rPr>
          <w:rFonts w:eastAsia="Symbol" w:cs="Symbol" w:ascii="Garamond" w:hAnsi="Garamond"/>
          <w:sz w:val="24"/>
          <w:szCs w:val="24"/>
        </w:rPr>
        <w:t></w:t>
      </w:r>
      <w:r>
        <w:rPr>
          <w:rFonts w:eastAsia="Tahoma" w:cs="Cambria" w:ascii="Garamond" w:hAnsi="Garamond"/>
          <w:sz w:val="24"/>
          <w:szCs w:val="24"/>
        </w:rPr>
        <w:t xml:space="preserve">   SI             </w:t>
      </w:r>
      <w:r>
        <w:rPr>
          <w:rFonts w:eastAsia="Symbol" w:cs="Symbol" w:ascii="Garamond" w:hAnsi="Garamond"/>
          <w:sz w:val="24"/>
          <w:szCs w:val="24"/>
        </w:rPr>
        <w:t></w:t>
      </w:r>
      <w:r>
        <w:rPr>
          <w:rFonts w:eastAsia="Tahoma" w:cs="Cambria" w:ascii="Garamond" w:hAnsi="Garamond"/>
          <w:sz w:val="24"/>
          <w:szCs w:val="24"/>
        </w:rPr>
        <w:t xml:space="preserve">   NO</w:t>
      </w:r>
    </w:p>
    <w:p>
      <w:pPr>
        <w:pStyle w:val="Normal"/>
        <w:widowControl w:val="false"/>
        <w:tabs>
          <w:tab w:val="left" w:pos="-14476" w:leader="none"/>
          <w:tab w:val="left" w:pos="-13484" w:leader="none"/>
        </w:tabs>
        <w:ind w:left="1304" w:right="0" w:hanging="0"/>
        <w:jc w:val="both"/>
        <w:rPr>
          <w:rFonts w:cs="Cambria" w:ascii="Garamond" w:hAnsi="Garamond"/>
          <w:szCs w:val="24"/>
        </w:rPr>
      </w:pPr>
      <w:r>
        <w:rPr>
          <w:rFonts w:cs="Cambria" w:ascii="Garamond" w:hAnsi="Garamond"/>
          <w:szCs w:val="24"/>
        </w:rPr>
      </w:r>
    </w:p>
    <w:p>
      <w:pPr>
        <w:pStyle w:val="Normal"/>
        <w:widowControl w:val="false"/>
        <w:tabs>
          <w:tab w:val="left" w:pos="-14476" w:leader="none"/>
          <w:tab w:val="left" w:pos="-13484" w:leader="none"/>
        </w:tabs>
        <w:ind w:left="1304" w:right="0" w:hanging="0"/>
        <w:jc w:val="both"/>
        <w:rPr>
          <w:rFonts w:cs="Cambria" w:ascii="Garamond" w:hAnsi="Garamond"/>
          <w:szCs w:val="24"/>
        </w:rPr>
      </w:pPr>
      <w:r>
        <w:rPr>
          <w:rFonts w:cs="Cambria" w:ascii="Garamond" w:hAnsi="Garamond"/>
          <w:szCs w:val="24"/>
        </w:rPr>
      </w:r>
    </w:p>
    <w:p>
      <w:pPr>
        <w:pStyle w:val="Normal"/>
        <w:widowControl w:val="false"/>
        <w:tabs>
          <w:tab w:val="left" w:pos="-14930" w:leader="none"/>
          <w:tab w:val="left" w:pos="-13938" w:leader="none"/>
        </w:tabs>
        <w:ind w:left="850" w:right="0" w:hanging="0"/>
        <w:jc w:val="left"/>
        <w:rPr/>
      </w:pPr>
      <w:r>
        <w:rPr/>
      </w:r>
    </w:p>
    <w:p>
      <w:pPr>
        <w:pStyle w:val="Normal"/>
        <w:widowControl w:val="false"/>
        <w:tabs>
          <w:tab w:val="left" w:pos="-14930" w:leader="none"/>
          <w:tab w:val="left" w:pos="-13938" w:leader="none"/>
        </w:tabs>
        <w:ind w:left="850" w:right="0" w:hanging="0"/>
        <w:jc w:val="left"/>
        <w:rPr/>
      </w:pPr>
      <w:r>
        <w:rPr/>
      </w:r>
    </w:p>
    <w:p>
      <w:pPr>
        <w:pStyle w:val="Normal"/>
        <w:widowControl w:val="false"/>
        <w:tabs>
          <w:tab w:val="left" w:pos="-14930" w:leader="none"/>
          <w:tab w:val="left" w:pos="-13938" w:leader="none"/>
        </w:tabs>
        <w:ind w:left="850" w:right="0" w:hanging="0"/>
        <w:jc w:val="left"/>
        <w:rPr/>
      </w:pPr>
      <w:r>
        <w:rPr/>
      </w:r>
    </w:p>
    <w:p>
      <w:pPr>
        <w:pStyle w:val="Normal"/>
        <w:widowControl w:val="false"/>
        <w:tabs>
          <w:tab w:val="left" w:pos="-14930" w:leader="none"/>
          <w:tab w:val="left" w:pos="-13938" w:leader="none"/>
        </w:tabs>
        <w:ind w:left="850" w:right="0" w:hanging="0"/>
        <w:jc w:val="left"/>
        <w:rPr/>
      </w:pPr>
      <w:r>
        <w:rPr/>
      </w:r>
    </w:p>
    <w:p>
      <w:pPr>
        <w:pStyle w:val="Normal"/>
        <w:widowControl w:val="false"/>
        <w:tabs>
          <w:tab w:val="left" w:pos="-14930" w:leader="none"/>
          <w:tab w:val="left" w:pos="-13938" w:leader="none"/>
        </w:tabs>
        <w:ind w:left="850" w:right="0" w:hanging="0"/>
        <w:jc w:val="left"/>
        <w:rPr/>
      </w:pPr>
      <w:r>
        <w:rPr/>
      </w:r>
    </w:p>
    <w:p>
      <w:pPr>
        <w:pStyle w:val="Normal"/>
        <w:widowControl w:val="false"/>
        <w:tabs>
          <w:tab w:val="left" w:pos="-14930" w:leader="none"/>
          <w:tab w:val="left" w:pos="-13938" w:leader="none"/>
        </w:tabs>
        <w:ind w:left="850" w:right="0" w:hanging="0"/>
        <w:jc w:val="both"/>
        <w:rPr/>
      </w:pPr>
      <w:r>
        <w:rPr/>
      </w:r>
    </w:p>
    <w:p>
      <w:pPr>
        <w:pStyle w:val="Normal"/>
        <w:widowControl w:val="false"/>
        <w:tabs>
          <w:tab w:val="left" w:pos="-14930" w:leader="none"/>
          <w:tab w:val="left" w:pos="-13938" w:leader="none"/>
        </w:tabs>
        <w:ind w:left="850" w:right="0" w:hanging="0"/>
        <w:jc w:val="both"/>
        <w:rPr/>
      </w:pPr>
      <w:r>
        <w:rPr/>
      </w:r>
    </w:p>
    <w:p>
      <w:pPr>
        <w:pStyle w:val="Normal"/>
        <w:widowControl w:val="false"/>
        <w:tabs>
          <w:tab w:val="left" w:pos="-14476" w:leader="none"/>
          <w:tab w:val="left" w:pos="-13484" w:leader="none"/>
        </w:tabs>
        <w:suppressAutoHyphens w:val="true"/>
        <w:bidi w:val="0"/>
        <w:ind w:left="0" w:right="0" w:hanging="0"/>
        <w:jc w:val="both"/>
        <w:rPr>
          <w:rFonts w:cs="Cambria" w:ascii="Garamond" w:hAnsi="Garamond"/>
          <w:szCs w:val="24"/>
        </w:rPr>
      </w:pPr>
      <w:r>
        <w:rPr>
          <w:rFonts w:cs="Cambria" w:ascii="Garamond" w:hAnsi="Garamond"/>
          <w:szCs w:val="24"/>
        </w:rPr>
        <w:t>_____________________</w:t>
      </w:r>
    </w:p>
    <w:p>
      <w:pPr>
        <w:pStyle w:val="Notaapidipagina"/>
        <w:widowControl w:val="false"/>
        <w:suppressLineNumbers/>
        <w:tabs>
          <w:tab w:val="left" w:pos="-14476" w:leader="none"/>
          <w:tab w:val="left" w:pos="-13484" w:leader="none"/>
        </w:tabs>
        <w:suppressAutoHyphens w:val="true"/>
        <w:bidi w:val="0"/>
        <w:ind w:left="0" w:right="0" w:hanging="0"/>
        <w:jc w:val="both"/>
        <w:rPr>
          <w:rFonts w:cs="Cambria" w:ascii="Garamond" w:hAnsi="Garamond"/>
          <w:szCs w:val="24"/>
        </w:rPr>
      </w:pPr>
      <w:r>
        <w:rPr>
          <w:rFonts w:cs="Cambria" w:ascii="Garamond" w:hAnsi="Garamond"/>
          <w:szCs w:val="24"/>
        </w:rPr>
      </w:r>
    </w:p>
    <w:p>
      <w:pPr>
        <w:pStyle w:val="Notaapidipagina"/>
        <w:widowControl w:val="false"/>
        <w:suppressLineNumbers/>
        <w:tabs>
          <w:tab w:val="left" w:pos="-14476" w:leader="none"/>
          <w:tab w:val="left" w:pos="-13484" w:leader="none"/>
        </w:tabs>
        <w:suppressAutoHyphens w:val="true"/>
        <w:bidi w:val="0"/>
        <w:ind w:left="0" w:right="0" w:hanging="0"/>
        <w:jc w:val="both"/>
        <w:rPr>
          <w:rFonts w:cs="Cambria" w:ascii="Garamond" w:hAnsi="Garamond"/>
          <w:szCs w:val="24"/>
        </w:rPr>
      </w:pPr>
      <w:r>
        <w:rPr>
          <w:rStyle w:val="Footnotereference"/>
          <w:rFonts w:cs="Cambria" w:ascii="Garamond" w:hAnsi="Garamond"/>
          <w:szCs w:val="24"/>
        </w:rPr>
        <w:t xml:space="preserve">3 </w:t>
      </w:r>
      <w:r>
        <w:rPr>
          <w:rFonts w:cs="Cambria" w:ascii="Garamond" w:hAnsi="Garamond"/>
          <w:szCs w:val="24"/>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rmal"/>
        <w:widowControl w:val="false"/>
        <w:tabs>
          <w:tab w:val="left" w:pos="-14476" w:leader="none"/>
          <w:tab w:val="left" w:pos="-13484" w:leader="none"/>
        </w:tabs>
        <w:ind w:left="1304" w:right="0" w:hanging="0"/>
        <w:jc w:val="both"/>
        <w:rPr>
          <w:rFonts w:cs="Cambria" w:ascii="Garamond" w:hAnsi="Garamond"/>
          <w:szCs w:val="24"/>
        </w:rPr>
      </w:pPr>
      <w:r>
        <w:rPr>
          <w:rFonts w:cs="Cambria" w:ascii="Garamond" w:hAnsi="Garamond"/>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1247" w:right="0" w:hanging="360"/>
        <w:jc w:val="both"/>
        <w:rPr>
          <w:rFonts w:eastAsia="Tahoma" w:cs="Cambria" w:ascii="Garamond" w:hAnsi="Garamond"/>
          <w:szCs w:val="24"/>
        </w:rPr>
      </w:pPr>
      <w:r>
        <w:rPr>
          <w:rFonts w:eastAsia="Tahoma" w:cs="Cambria" w:ascii="Garamond" w:hAnsi="Garamond"/>
          <w:szCs w:val="24"/>
        </w:rPr>
        <w:t xml:space="preserve"> </w:t>
      </w:r>
      <w:r>
        <w:rPr>
          <w:rFonts w:eastAsia="Tahoma" w:cs="Cambria" w:ascii="Garamond" w:hAnsi="Garamond"/>
          <w:szCs w:val="24"/>
        </w:rPr>
        <w:t xml:space="preserve">L’operatore economico risulta </w:t>
      </w:r>
      <w:r>
        <w:rPr>
          <w:rFonts w:eastAsia="Tahoma" w:cs="Cambria" w:ascii="Garamond" w:hAnsi="Garamond"/>
        </w:rPr>
        <w:t>iscritto nel casellario informatico tenuto dall'Osservatorio dell'ANAC per aver presentato false dichiarazioni o falsa documentazione ai fini del rilascio dell'attestazione di qualificazione, per il periodo durante il quale perdura l'iscrizione</w:t>
      </w:r>
      <w:r>
        <w:rPr>
          <w:rFonts w:eastAsia="Tahoma" w:cs="Cambria" w:ascii="Garamond" w:hAnsi="Garamond"/>
          <w:szCs w:val="24"/>
        </w:rPr>
        <w:t xml:space="preserve"> (Art. 80, comma 5, lettera g)?</w:t>
      </w:r>
    </w:p>
    <w:p>
      <w:pPr>
        <w:pStyle w:val="Normal"/>
        <w:widowControl w:val="false"/>
        <w:tabs>
          <w:tab w:val="left" w:pos="-14476" w:leader="none"/>
          <w:tab w:val="left" w:pos="-13484" w:leader="none"/>
        </w:tabs>
        <w:suppressAutoHyphens w:val="true"/>
        <w:bidi w:val="0"/>
        <w:spacing w:lineRule="auto" w:line="276"/>
        <w:ind w:left="1740" w:right="0" w:hanging="0"/>
        <w:jc w:val="both"/>
        <w:rPr>
          <w:rFonts w:eastAsia="Tahoma" w:cs="Cambria" w:ascii="Garamond" w:hAnsi="Garamond"/>
          <w:sz w:val="24"/>
          <w:szCs w:val="24"/>
        </w:rPr>
      </w:pPr>
      <w:r>
        <w:rPr>
          <w:rFonts w:eastAsia="Tahoma" w:cs="Tahoma" w:ascii="Garamond" w:hAnsi="Garamond"/>
          <w:sz w:val="24"/>
          <w:szCs w:val="24"/>
        </w:rPr>
        <w:t xml:space="preserve">   </w:t>
      </w:r>
      <w:r>
        <w:rPr>
          <w:rFonts w:eastAsia="Tahoma" w:cs="Cambria" w:ascii="Garamond" w:hAnsi="Garamond"/>
          <w:sz w:val="24"/>
          <w:szCs w:val="24"/>
        </w:rPr>
        <w:t xml:space="preserve">   </w:t>
      </w:r>
      <w:r>
        <w:rPr>
          <w:rFonts w:eastAsia="Symbol" w:cs="Symbol" w:ascii="Garamond" w:hAnsi="Garamond"/>
          <w:sz w:val="24"/>
          <w:szCs w:val="24"/>
        </w:rPr>
        <w:t></w:t>
      </w:r>
      <w:r>
        <w:rPr>
          <w:rFonts w:eastAsia="Tahoma" w:cs="Cambria" w:ascii="Garamond" w:hAnsi="Garamond"/>
          <w:sz w:val="24"/>
          <w:szCs w:val="24"/>
        </w:rPr>
        <w:t xml:space="preserve">   </w:t>
      </w:r>
      <w:r>
        <w:rPr>
          <w:rFonts w:eastAsia="Tahoma" w:cs="Cambria" w:ascii="Garamond" w:hAnsi="Garamond"/>
          <w:sz w:val="24"/>
          <w:szCs w:val="24"/>
        </w:rPr>
        <w:t xml:space="preserve">SI             </w:t>
      </w:r>
      <w:r>
        <w:rPr>
          <w:rFonts w:eastAsia="Symbol" w:cs="Symbol" w:ascii="Garamond" w:hAnsi="Garamond"/>
          <w:sz w:val="24"/>
          <w:szCs w:val="24"/>
        </w:rPr>
        <w:t></w:t>
      </w:r>
      <w:r>
        <w:rPr>
          <w:rFonts w:eastAsia="Tahoma" w:cs="Cambria" w:ascii="Garamond" w:hAnsi="Garamond"/>
          <w:sz w:val="24"/>
          <w:szCs w:val="24"/>
        </w:rPr>
        <w:t xml:space="preserve">   NO</w:t>
      </w:r>
    </w:p>
    <w:p>
      <w:pPr>
        <w:pStyle w:val="Normal"/>
        <w:widowControl w:val="false"/>
        <w:tabs>
          <w:tab w:val="left" w:pos="-14476" w:leader="none"/>
          <w:tab w:val="left" w:pos="-13484" w:leader="none"/>
        </w:tabs>
        <w:suppressAutoHyphens w:val="true"/>
        <w:bidi w:val="0"/>
        <w:spacing w:lineRule="auto" w:line="276"/>
        <w:ind w:left="1740" w:right="0" w:hanging="0"/>
        <w:jc w:val="both"/>
        <w:rPr>
          <w:rFonts w:eastAsia="Tahoma" w:cs="Cambria" w:ascii="Garamond" w:hAnsi="Garamond"/>
          <w:szCs w:val="24"/>
        </w:rPr>
      </w:pPr>
      <w:r>
        <w:rPr>
          <w:rFonts w:eastAsia="Tahoma" w:cs="Cambria" w:ascii="Garamond" w:hAnsi="Garamond"/>
          <w:szCs w:val="24"/>
        </w:rPr>
        <w:t xml:space="preserve">In caso di risposta affermativa indicare il periodo per il quale perdura l’iscrizione </w:t>
      </w:r>
      <w:bookmarkStart w:id="5" w:name="_Hlk529259626"/>
      <w:r>
        <w:rPr>
          <w:rFonts w:eastAsia="Tahoma" w:cs="Cambria" w:ascii="Garamond" w:hAnsi="Garamond"/>
          <w:szCs w:val="24"/>
        </w:rPr>
        <w:t>_________________________________________</w:t>
      </w:r>
      <w:bookmarkEnd w:id="5"/>
      <w:r>
        <w:rPr>
          <w:rFonts w:eastAsia="Tahoma" w:cs="Cambria" w:ascii="Garamond" w:hAnsi="Garamond"/>
          <w:szCs w:val="24"/>
        </w:rPr>
        <w:t>;</w:t>
      </w:r>
    </w:p>
    <w:p>
      <w:pPr>
        <w:pStyle w:val="Normal"/>
        <w:widowControl w:val="false"/>
        <w:tabs>
          <w:tab w:val="left" w:pos="-14476" w:leader="none"/>
          <w:tab w:val="left" w:pos="-13484" w:leader="none"/>
        </w:tabs>
        <w:spacing w:lineRule="auto" w:line="276"/>
        <w:ind w:left="1304" w:right="0" w:hanging="0"/>
        <w:jc w:val="both"/>
        <w:rPr>
          <w:rFonts w:cs="Cambria" w:ascii="Garamond" w:hAnsi="Garamond"/>
        </w:rPr>
      </w:pPr>
      <w:r>
        <w:rPr>
          <w:rFonts w:cs="Cambria" w:ascii="Garamond" w:hAnsi="Garamond"/>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mbria" w:ascii="Garamond" w:hAnsi="Garamond"/>
          <w:szCs w:val="24"/>
        </w:rPr>
      </w:pPr>
      <w:r>
        <w:rPr>
          <w:rFonts w:eastAsia="Tahoma" w:cs="Cambria" w:ascii="Garamond" w:hAnsi="Garamond"/>
          <w:szCs w:val="24"/>
        </w:rPr>
        <w:t xml:space="preserve"> </w:t>
      </w:r>
      <w:r>
        <w:rPr>
          <w:rFonts w:eastAsia="Tahoma" w:cs="Cambria" w:ascii="Garamond" w:hAnsi="Garamond"/>
          <w:szCs w:val="24"/>
        </w:rPr>
        <w:t>L’operatore economico h</w:t>
      </w:r>
      <w:r>
        <w:rPr>
          <w:rFonts w:eastAsia="Tahoma" w:cs="Cambria" w:ascii="Garamond" w:hAnsi="Garamond"/>
        </w:rPr>
        <w:t>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mbria" w:ascii="Garamond" w:hAnsi="Garamond"/>
          <w:color w:val="000000"/>
        </w:rPr>
        <w:t>articolo 17 della legge 19 marzo 1990, n. 55</w:t>
      </w:r>
      <w:r>
        <w:fldChar w:fldCharType="end"/>
      </w:r>
      <w:r>
        <w:rPr>
          <w:rFonts w:eastAsia="Tahoma" w:cs="Cambria" w:ascii="Garamond" w:hAnsi="Garamond"/>
        </w:rPr>
        <w:t xml:space="preserve">. </w:t>
      </w:r>
      <w:r>
        <w:rPr>
          <w:rFonts w:eastAsia="Tahoma" w:cs="Cambria" w:ascii="Garamond" w:hAnsi="Garamond"/>
          <w:szCs w:val="24"/>
        </w:rPr>
        <w:t>(Art. 80, comma 5, lettera h)?         SI                NO</w:t>
      </w:r>
    </w:p>
    <w:p>
      <w:pPr>
        <w:pStyle w:val="Normal"/>
        <w:widowControl w:val="false"/>
        <w:tabs>
          <w:tab w:val="left" w:pos="-14476" w:leader="none"/>
          <w:tab w:val="left" w:pos="-13484" w:leader="none"/>
        </w:tabs>
        <w:ind w:left="1304" w:right="0" w:hanging="0"/>
        <w:jc w:val="both"/>
        <w:rPr>
          <w:rFonts w:cs="Cambria" w:ascii="Cambria" w:hAnsi="Cambria"/>
          <w:szCs w:val="24"/>
        </w:rPr>
      </w:pPr>
      <w:r>
        <w:rPr>
          <w:rFonts w:cs="Cambria" w:ascii="Garamond" w:hAnsi="Garamond"/>
          <w:szCs w:val="24"/>
        </w:rPr>
        <w:t>In caso di risposta affermativa indicare la data di accertamento  _____________________  e se la sanzione è stata rimossa:</w:t>
      </w:r>
      <w:r>
        <w:rPr>
          <w:rFonts w:cs="Cambria" w:ascii="Cambria" w:hAnsi="Cambria"/>
          <w:szCs w:val="24"/>
        </w:rPr>
        <w:t xml:space="preserve">         SI                NO</w:t>
      </w:r>
    </w:p>
    <w:p>
      <w:pPr>
        <w:pStyle w:val="Normal"/>
        <w:widowControl w:val="false"/>
        <w:tabs>
          <w:tab w:val="left" w:pos="-14476" w:leader="none"/>
          <w:tab w:val="left" w:pos="-13484" w:leader="none"/>
        </w:tabs>
        <w:ind w:left="1304" w:right="0" w:hanging="0"/>
        <w:jc w:val="both"/>
        <w:rPr>
          <w:rFonts w:cs="Cambria" w:ascii="Garamond" w:hAnsi="Garamond"/>
          <w:szCs w:val="24"/>
        </w:rPr>
      </w:pPr>
      <w:r>
        <w:rPr>
          <w:rFonts w:cs="Cambria" w:ascii="Garamond" w:hAnsi="Garamond"/>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mbria" w:ascii="Garamond" w:hAnsi="Garamond"/>
          <w:szCs w:val="24"/>
        </w:rPr>
      </w:pPr>
      <w:r>
        <w:rPr>
          <w:rFonts w:eastAsia="Tahoma" w:cs="Cambria" w:ascii="Garamond" w:hAnsi="Garamond"/>
          <w:szCs w:val="24"/>
        </w:rPr>
        <w:t xml:space="preserve"> </w:t>
      </w:r>
      <w:r>
        <w:rPr>
          <w:rFonts w:eastAsia="Tahoma" w:cs="Cambria" w:ascii="Garamond" w:hAnsi="Garamond"/>
          <w:szCs w:val="24"/>
        </w:rPr>
        <w:t>L’operatore economico si</w:t>
      </w:r>
      <w:r>
        <w:rPr>
          <w:rFonts w:eastAsia="Tahoma" w:cs="Cambria" w:ascii="Garamond" w:hAnsi="Garamond"/>
          <w:color w:val="000000"/>
          <w:szCs w:val="24"/>
        </w:rPr>
        <w:t xml:space="preserve"> trova in regola con le norme che disciplinano il diritto al lavoro dei disabili di cui alla legge 12 marzo 1999 n. 68?</w:t>
      </w:r>
      <w:r>
        <w:rPr>
          <w:rFonts w:eastAsia="Tahoma" w:cs="Cambria" w:ascii="Garamond" w:hAnsi="Garamond"/>
          <w:szCs w:val="24"/>
        </w:rPr>
        <w:t xml:space="preserve"> (Art. 80, comma 5, lettera i)?    </w:t>
      </w:r>
    </w:p>
    <w:p>
      <w:pPr>
        <w:pStyle w:val="Normal"/>
        <w:widowControl w:val="false"/>
        <w:tabs>
          <w:tab w:val="left" w:pos="-14476" w:leader="none"/>
          <w:tab w:val="left" w:pos="-13484" w:leader="none"/>
        </w:tabs>
        <w:spacing w:lineRule="auto" w:line="276"/>
        <w:ind w:left="1304" w:right="0" w:hanging="0"/>
        <w:jc w:val="both"/>
        <w:rPr>
          <w:rFonts w:eastAsia="Tahoma" w:cs="Cambria" w:ascii="Garamond" w:hAnsi="Garamond"/>
          <w:szCs w:val="24"/>
        </w:rPr>
      </w:pPr>
      <w:r>
        <w:rPr>
          <w:rFonts w:eastAsia="Tahoma" w:cs="Cambria" w:ascii="Garamond" w:hAnsi="Garamond"/>
          <w:szCs w:val="24"/>
        </w:rPr>
        <w:t xml:space="preserve">         </w:t>
      </w:r>
      <w:r>
        <w:rPr>
          <w:rFonts w:eastAsia="Tahoma" w:cs="Cambria" w:ascii="Garamond" w:hAnsi="Garamond"/>
          <w:szCs w:val="24"/>
        </w:rPr>
        <w:t xml:space="preserve">SI                NO     </w:t>
      </w:r>
      <w:r>
        <w:rPr>
          <w:rFonts w:eastAsia="Symbol" w:cs="Symbol" w:ascii="Garamond" w:hAnsi="Garamond"/>
          <w:sz w:val="24"/>
          <w:szCs w:val="24"/>
        </w:rPr>
        <w:t></w:t>
      </w:r>
      <w:r>
        <w:rPr>
          <w:rFonts w:eastAsia="Tahoma" w:cs="Tahoma" w:ascii="Garamond" w:hAnsi="Garamond"/>
          <w:sz w:val="24"/>
          <w:szCs w:val="24"/>
        </w:rPr>
        <w:t xml:space="preserve">   </w:t>
      </w:r>
      <w:r>
        <w:rPr>
          <w:rFonts w:eastAsia="Tahoma" w:cs="Cambria" w:ascii="Garamond" w:hAnsi="Garamond"/>
          <w:szCs w:val="24"/>
        </w:rPr>
        <w:t xml:space="preserve">Non soggetto alla disciplina di cui alla L. 68/99 </w:t>
      </w:r>
      <w:bookmarkStart w:id="6" w:name="_Hlk529259688"/>
      <w:bookmarkEnd w:id="6"/>
      <w:r>
        <w:rPr>
          <w:rFonts w:eastAsia="Tahoma" w:cs="Cambria" w:ascii="Garamond" w:hAnsi="Garamond"/>
          <w:szCs w:val="24"/>
        </w:rPr>
        <w:t>in quanto _______________________________________________;</w:t>
      </w:r>
    </w:p>
    <w:p>
      <w:pPr>
        <w:pStyle w:val="Normal"/>
        <w:widowControl w:val="false"/>
        <w:tabs>
          <w:tab w:val="left" w:pos="-15780" w:leader="none"/>
          <w:tab w:val="left" w:pos="-14788" w:leader="none"/>
        </w:tabs>
        <w:spacing w:lineRule="auto" w:line="276"/>
        <w:jc w:val="both"/>
        <w:rPr>
          <w:rFonts w:cs="Cambria" w:ascii="Garamond" w:hAnsi="Garamond"/>
        </w:rPr>
      </w:pPr>
      <w:r>
        <w:rPr>
          <w:rFonts w:cs="Cambria" w:ascii="Garamond" w:hAnsi="Garamond"/>
        </w:rPr>
      </w:r>
    </w:p>
    <w:p>
      <w:pPr>
        <w:pStyle w:val="Normal"/>
        <w:widowControl w:val="false"/>
        <w:numPr>
          <w:ilvl w:val="0"/>
          <w:numId w:val="1"/>
        </w:numPr>
        <w:tabs>
          <w:tab w:val="left" w:pos="-14476" w:leader="none"/>
          <w:tab w:val="left" w:pos="-13484" w:leader="none"/>
        </w:tabs>
        <w:suppressAutoHyphens w:val="true"/>
        <w:bidi w:val="0"/>
        <w:spacing w:lineRule="auto" w:line="276"/>
        <w:jc w:val="both"/>
        <w:rPr>
          <w:rFonts w:eastAsia="Tahoma" w:cs="Cambria" w:ascii="Garamond" w:hAnsi="Garamond"/>
          <w:szCs w:val="24"/>
        </w:rPr>
      </w:pPr>
      <w:r>
        <w:rPr>
          <w:rFonts w:eastAsia="Tahoma" w:cs="Cambria" w:ascii="Garamond" w:hAnsi="Garamond"/>
          <w:szCs w:val="24"/>
        </w:rPr>
        <w:t xml:space="preserve"> </w:t>
      </w:r>
      <w:r>
        <w:rPr>
          <w:rFonts w:eastAsia="Tahoma" w:cs="Cambria" w:ascii="Garamond" w:hAnsi="Garamond"/>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mbria" w:ascii="Garamond" w:hAnsi="Garamond"/>
          <w:color w:val="00000A"/>
          <w:szCs w:val="24"/>
          <w:u w:val="none"/>
        </w:rPr>
        <w:t>articoli 317</w:t>
      </w:r>
      <w:r>
        <w:fldChar w:fldCharType="end"/>
      </w:r>
      <w:r>
        <w:rPr>
          <w:rFonts w:eastAsia="Tahoma" w:cs="Cambria" w:ascii="Garamond" w:hAnsi="Garamond"/>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mbria" w:ascii="Garamond" w:hAnsi="Garamond"/>
          <w:color w:val="00000A"/>
          <w:szCs w:val="24"/>
          <w:u w:val="none"/>
        </w:rPr>
        <w:t>629 del codice penale</w:t>
      </w:r>
      <w:r>
        <w:fldChar w:fldCharType="end"/>
      </w:r>
      <w:r>
        <w:rPr>
          <w:rFonts w:eastAsia="Tahoma" w:cs="Cambria" w:ascii="Garamond" w:hAnsi="Garamond"/>
          <w:szCs w:val="24"/>
        </w:rPr>
        <w:t xml:space="preserve"> aggravati ai sensi dell'articolo 7 del decreto-legge 13 maggio 1991, n. 152, convertito, con modificazioni, dalla legge 12 luglio 1991, n. 203?  (Art. 80, comma 5, lettera l)?</w:t>
      </w:r>
    </w:p>
    <w:p>
      <w:pPr>
        <w:pStyle w:val="Normal"/>
        <w:widowControl w:val="false"/>
        <w:tabs>
          <w:tab w:val="left" w:pos="-14476" w:leader="none"/>
          <w:tab w:val="left" w:pos="-13484" w:leader="none"/>
        </w:tabs>
        <w:suppressAutoHyphens w:val="true"/>
        <w:bidi w:val="0"/>
        <w:spacing w:lineRule="auto" w:line="276"/>
        <w:jc w:val="both"/>
        <w:rPr>
          <w:rFonts w:eastAsia="Tahoma" w:cs="Cambria" w:ascii="Garamond" w:hAnsi="Garamond"/>
          <w:szCs w:val="24"/>
        </w:rPr>
      </w:pPr>
      <w:bookmarkStart w:id="7" w:name="__DdeLink__1412_118271301"/>
      <w:r>
        <w:rPr>
          <w:rFonts w:eastAsia="Tahoma" w:cs="Cambria" w:ascii="Garamond" w:hAnsi="Garamond"/>
          <w:szCs w:val="24"/>
        </w:rPr>
        <w:t xml:space="preserve">       </w:t>
      </w:r>
      <w:bookmarkEnd w:id="7"/>
      <w:r>
        <w:rPr>
          <w:rFonts w:eastAsia="Tahoma" w:cs="Cambria" w:ascii="Garamond" w:hAnsi="Garamond"/>
          <w:szCs w:val="24"/>
        </w:rPr>
        <w:t>SI                NO</w:t>
      </w:r>
    </w:p>
    <w:p>
      <w:pPr>
        <w:pStyle w:val="Normal"/>
        <w:widowControl w:val="false"/>
        <w:tabs>
          <w:tab w:val="left" w:pos="-14476" w:leader="none"/>
          <w:tab w:val="left" w:pos="-13484" w:leader="none"/>
        </w:tabs>
        <w:suppressAutoHyphens w:val="true"/>
        <w:bidi w:val="0"/>
        <w:spacing w:lineRule="auto" w:line="276"/>
        <w:ind w:left="1247" w:right="0" w:hanging="0"/>
        <w:jc w:val="both"/>
        <w:rPr>
          <w:rFonts w:eastAsia="Tahoma" w:cs="Cambria" w:ascii="Garamond" w:hAnsi="Garamond"/>
          <w:szCs w:val="24"/>
        </w:rPr>
      </w:pPr>
      <w:r>
        <w:rPr>
          <w:rFonts w:eastAsia="Tahoma" w:cs="Cambria" w:ascii="Garamond" w:hAnsi="Garamond"/>
          <w:szCs w:val="24"/>
        </w:rPr>
        <w:t>In caso di risposta affermativa, ha denunciato i fatti all’autorità giudiziaria?</w:t>
      </w:r>
    </w:p>
    <w:p>
      <w:pPr>
        <w:pStyle w:val="Normal"/>
        <w:widowControl w:val="false"/>
        <w:tabs>
          <w:tab w:val="left" w:pos="-14476" w:leader="none"/>
          <w:tab w:val="left" w:pos="-13484" w:leader="none"/>
        </w:tabs>
        <w:suppressAutoHyphens w:val="true"/>
        <w:bidi w:val="0"/>
        <w:spacing w:lineRule="auto" w:line="276"/>
        <w:ind w:left="1247" w:right="0" w:hanging="0"/>
        <w:jc w:val="both"/>
        <w:rPr>
          <w:rFonts w:eastAsia="Tahoma" w:cs="Cambria" w:ascii="Garamond" w:hAnsi="Garamond"/>
          <w:szCs w:val="24"/>
        </w:rPr>
      </w:pPr>
      <w:r>
        <w:rPr>
          <w:rFonts w:eastAsia="Tahoma" w:cs="Cambria" w:ascii="Garamond" w:hAnsi="Garamond"/>
          <w:szCs w:val="24"/>
        </w:rPr>
        <w:t xml:space="preserve">       </w:t>
      </w:r>
      <w:r>
        <w:rPr>
          <w:rFonts w:eastAsia="Tahoma" w:cs="Cambria" w:ascii="Garamond" w:hAnsi="Garamond"/>
          <w:szCs w:val="24"/>
        </w:rPr>
        <w:t>SI                NO</w:t>
      </w:r>
    </w:p>
    <w:p>
      <w:pPr>
        <w:pStyle w:val="Normal"/>
        <w:widowControl w:val="false"/>
        <w:tabs>
          <w:tab w:val="left" w:pos="-14476" w:leader="none"/>
          <w:tab w:val="left" w:pos="-13484" w:leader="none"/>
        </w:tabs>
        <w:ind w:left="1304" w:right="0" w:hanging="0"/>
        <w:jc w:val="both"/>
        <w:rPr>
          <w:rFonts w:cs="Cambria" w:ascii="Garamond" w:hAnsi="Garamond"/>
          <w:szCs w:val="24"/>
        </w:rPr>
      </w:pPr>
      <w:r>
        <w:rPr>
          <w:rFonts w:cs="Cambria" w:ascii="Garamond" w:hAnsi="Garamond"/>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mbria" w:ascii="Garamond" w:hAnsi="Garamond"/>
        </w:rPr>
      </w:pPr>
      <w:r>
        <w:rPr>
          <w:rFonts w:eastAsia="Tahoma" w:cs="Cambria" w:ascii="Garamond" w:hAnsi="Garamond"/>
        </w:rPr>
        <w:t xml:space="preserve"> </w:t>
      </w:r>
      <w:r>
        <w:rPr>
          <w:rFonts w:eastAsia="Tahoma" w:cs="Cambria" w:ascii="Garamond" w:hAnsi="Garamond"/>
        </w:rPr>
        <w:t>L’operatore economico si trova rispetto ad un altro partecipante alla medesima procedura di affidamento</w:t>
      </w:r>
      <w:r>
        <w:rPr>
          <w:rStyle w:val="CollegamentoInternet"/>
          <w:rFonts w:eastAsia="Tahoma" w:cs="Cambria" w:ascii="Garamond" w:hAnsi="Garamond"/>
          <w:color w:val="000000"/>
          <w:u w:val="none"/>
        </w:rPr>
        <w:t>,</w:t>
      </w:r>
      <w:r>
        <w:rPr>
          <w:rFonts w:eastAsia="Tahoma" w:cs="Cambria" w:ascii="Garamond" w:hAnsi="Garamond"/>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p>
    <w:p>
      <w:pPr>
        <w:pStyle w:val="Normal"/>
        <w:widowControl w:val="false"/>
        <w:tabs>
          <w:tab w:val="left" w:pos="-14476" w:leader="none"/>
          <w:tab w:val="left" w:pos="-13484" w:leader="none"/>
        </w:tabs>
        <w:suppressAutoHyphens w:val="true"/>
        <w:bidi w:val="0"/>
        <w:spacing w:lineRule="auto" w:line="276"/>
        <w:ind w:left="1304" w:right="0" w:hanging="0"/>
        <w:jc w:val="both"/>
        <w:rPr>
          <w:rFonts w:eastAsia="Tahoma" w:cs="Cambria" w:ascii="Garamond" w:hAnsi="Garamond"/>
          <w:b w:val="false"/>
          <w:bCs w:val="false"/>
          <w:i w:val="false"/>
          <w:iCs w:val="false"/>
          <w:szCs w:val="24"/>
        </w:rPr>
      </w:pPr>
      <w:r>
        <w:rPr>
          <w:rFonts w:eastAsia="Tahoma" w:cs="Cambria" w:ascii="Garamond" w:hAnsi="Garamond"/>
          <w:b w:val="false"/>
          <w:bCs w:val="false"/>
          <w:i w:val="false"/>
          <w:iCs w:val="false"/>
          <w:szCs w:val="24"/>
        </w:rPr>
        <w:t xml:space="preserve">       </w:t>
      </w:r>
      <w:r>
        <w:rPr>
          <w:rFonts w:eastAsia="Tahoma" w:cs="Cambria" w:ascii="Garamond" w:hAnsi="Garamond"/>
          <w:b w:val="false"/>
          <w:bCs w:val="false"/>
          <w:i w:val="false"/>
          <w:iCs w:val="false"/>
          <w:szCs w:val="24"/>
        </w:rPr>
        <w:t>SI                NO</w:t>
      </w:r>
    </w:p>
    <w:p>
      <w:pPr>
        <w:pStyle w:val="Normal"/>
        <w:widowControl w:val="false"/>
        <w:tabs>
          <w:tab w:val="left" w:pos="-14476" w:leader="none"/>
          <w:tab w:val="left" w:pos="-13484" w:leader="none"/>
        </w:tabs>
        <w:spacing w:lineRule="auto" w:line="276"/>
        <w:ind w:left="1304" w:right="0" w:hanging="0"/>
        <w:jc w:val="both"/>
        <w:rPr>
          <w:rFonts w:eastAsia="Tahoma" w:ascii="Garamond" w:hAnsi="Garamond"/>
          <w:szCs w:val="24"/>
        </w:rPr>
      </w:pPr>
      <w:r>
        <w:rPr>
          <w:rFonts w:eastAsia="Tahoma" w:ascii="Garamond" w:hAnsi="Garamond"/>
          <w:szCs w:val="24"/>
        </w:rPr>
      </w:r>
    </w:p>
    <w:p>
      <w:pPr>
        <w:pStyle w:val="Sche3"/>
        <w:tabs>
          <w:tab w:val="left" w:pos="284" w:leader="none"/>
          <w:tab w:val="left" w:pos="1276" w:leader="none"/>
        </w:tabs>
        <w:ind w:left="644" w:right="0" w:hanging="284"/>
        <w:rPr>
          <w:rFonts w:cs="Tahoma" w:ascii="Garamond" w:hAnsi="Garamond"/>
          <w:b/>
          <w:sz w:val="24"/>
          <w:szCs w:val="24"/>
          <w:lang w:val="it-IT"/>
        </w:rPr>
      </w:pPr>
      <w:bookmarkStart w:id="8" w:name="_GoBack"/>
      <w:bookmarkEnd w:id="8"/>
      <w:r>
        <w:rPr>
          <w:rFonts w:cs="Tahoma" w:ascii="Garamond" w:hAnsi="Garamond"/>
          <w:b/>
          <w:sz w:val="24"/>
          <w:szCs w:val="24"/>
          <w:lang w:val="it-IT"/>
        </w:rPr>
        <w:t>PARTE IV DEL DGUE – Criteri di selezione</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In qualità di ausiliaria si impegna a mettere a disposizione del concorrente i seguenti requisiti di cui è carente:</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b/>
          <w:sz w:val="24"/>
          <w:szCs w:val="24"/>
          <w:lang w:val="it-IT"/>
        </w:rPr>
      </w:pPr>
      <w:r>
        <w:rPr>
          <w:rFonts w:cs="Tahoma" w:ascii="Garamond" w:hAnsi="Garamond"/>
          <w:b/>
          <w:sz w:val="24"/>
          <w:szCs w:val="24"/>
          <w:lang w:val="it-IT"/>
        </w:rPr>
        <w:t xml:space="preserve">A.  Requisiti di idoneità tecnica e organizzativa: </w:t>
      </w:r>
    </w:p>
    <w:p>
      <w:pPr>
        <w:pStyle w:val="Sche3"/>
        <w:tabs>
          <w:tab w:val="left" w:pos="284" w:leader="none"/>
          <w:tab w:val="left" w:pos="1276" w:leader="none"/>
        </w:tabs>
        <w:ind w:left="644" w:right="0" w:hanging="284"/>
        <w:rPr>
          <w:rFonts w:cs="Tahoma" w:ascii="Garamond" w:hAnsi="Garamond"/>
          <w:b/>
          <w:sz w:val="24"/>
          <w:szCs w:val="24"/>
          <w:lang w:val="it-IT"/>
        </w:rPr>
      </w:pPr>
      <w:r>
        <w:rPr>
          <w:rFonts w:cs="Tahoma" w:ascii="Garamond" w:hAnsi="Garamond"/>
          <w:b/>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 xml:space="preserve">    </w:t>
      </w:r>
      <w:r>
        <w:rPr>
          <w:rFonts w:cs="Tahoma" w:ascii="Garamond" w:hAnsi="Garamond"/>
          <w:sz w:val="24"/>
          <w:szCs w:val="24"/>
          <w:lang w:val="it-IT"/>
        </w:rPr>
        <w:t>- di essere in possesso dell’attestazione di qualificazione SOA di cui all’art. 60 del D.P.R. 207/10 s.m.i., rilasciata da società di attestazione (SOA) di cui al D.P.R. 207/10 s.m.i. che si riferisce alle categorie di lavori come di seguito indicate e di cui fornisce di seguito i dati identificativi:</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 xml:space="preserve">    </w:t>
      </w:r>
      <w:r>
        <w:rPr>
          <w:rFonts w:cs="Tahoma" w:ascii="Garamond" w:hAnsi="Garamond"/>
          <w:sz w:val="24"/>
          <w:szCs w:val="24"/>
          <w:lang w:val="it-IT"/>
        </w:rPr>
        <w:t>- identità SOA che ha rilasciato l’attestazione di qualificazione (denominazione, sede etc.):</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 xml:space="preserve"> </w:t>
      </w:r>
      <w:r>
        <w:rPr>
          <w:rFonts w:cs="Tahoma" w:ascii="Garamond" w:hAnsi="Garamond"/>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estremi attestazione qualificazione:</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Attestazione numero: ___________________ Rilasciata il________________________________</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Scadenza validità triennale  il ______________________________</w:t>
      </w:r>
    </w:p>
    <w:p>
      <w:pPr>
        <w:pStyle w:val="Sche3"/>
        <w:rPr>
          <w:rFonts w:cs="Tahoma" w:ascii="Garamond" w:hAnsi="Garamond"/>
          <w:sz w:val="24"/>
          <w:szCs w:val="24"/>
          <w:lang w:val="it-IT"/>
        </w:rPr>
      </w:pPr>
      <w:r>
        <w:rPr>
          <w:rFonts w:cs="Tahoma" w:ascii="Garamond" w:hAnsi="Garamond"/>
          <w:sz w:val="24"/>
          <w:szCs w:val="24"/>
          <w:lang w:val="it-IT"/>
        </w:rPr>
        <w:t xml:space="preserve">      </w:t>
      </w:r>
      <w:r>
        <w:rPr>
          <w:rFonts w:cs="Tahoma" w:ascii="Garamond" w:hAnsi="Garamond"/>
          <w:sz w:val="24"/>
          <w:szCs w:val="24"/>
          <w:lang w:val="it-IT"/>
        </w:rPr>
        <w:t>Scadenza validità triennale  il ______________________________</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categorie di lavorazioni  possedute e  relative                  classifiche d’importo:</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__________________                                                     ______________________</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__________________                                                     _______________________</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__________________                                                     ______________________</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__________________                                                     ______________________</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I direttori tecnici sono:</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w:t>
      </w:r>
      <w:r>
        <w:rPr>
          <w:rFonts w:cs="Tahoma" w:ascii="Garamond" w:hAnsi="Garamond"/>
          <w:sz w:val="24"/>
          <w:szCs w:val="24"/>
          <w:lang w:val="it-IT"/>
        </w:rPr>
        <w:t>.. nato a………………………….il…………………</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 xml:space="preserve"> ………………………  </w:t>
      </w:r>
      <w:r>
        <w:rPr>
          <w:rFonts w:cs="Tahoma" w:ascii="Garamond" w:hAnsi="Garamond"/>
          <w:sz w:val="24"/>
          <w:szCs w:val="24"/>
          <w:lang w:val="it-IT"/>
        </w:rPr>
        <w:t>nato a………………………….il……………………..</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 xml:space="preserve"> ………………………</w:t>
      </w:r>
      <w:r>
        <w:rPr>
          <w:rFonts w:cs="Tahoma" w:ascii="Garamond" w:hAnsi="Garamond"/>
          <w:sz w:val="24"/>
          <w:szCs w:val="24"/>
          <w:lang w:val="it-IT"/>
        </w:rPr>
        <w:t>..nato a………………………….il……………………..</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 xml:space="preserve">Con riferimento ai requisiti oggetto di avvalimento sopra indicati dichiara: </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w:t>
      </w:r>
      <w:r>
        <w:rPr>
          <w:rFonts w:cs="Tahoma" w:ascii="Garamond" w:hAnsi="Garamond"/>
          <w:sz w:val="24"/>
          <w:szCs w:val="24"/>
          <w:lang w:val="it-IT"/>
        </w:rPr>
        <w:tab/>
        <w:t xml:space="preserve">di obbligarsi verso il concorrente e verso </w:t>
      </w:r>
      <w:r>
        <w:rPr>
          <w:rFonts w:cs="Tahoma" w:ascii="Garamond" w:hAnsi="Garamond"/>
          <w:sz w:val="24"/>
          <w:szCs w:val="24"/>
          <w:lang w:val="it-IT"/>
        </w:rPr>
        <w:t>il Comune committente</w:t>
      </w:r>
      <w:r>
        <w:rPr>
          <w:rFonts w:cs="Tahoma" w:ascii="Garamond" w:hAnsi="Garamond"/>
          <w:sz w:val="24"/>
          <w:szCs w:val="24"/>
          <w:lang w:val="it-IT"/>
        </w:rPr>
        <w:t xml:space="preserve"> a fornire le risorse sopra elencate e a mettere a disposizione le risorse necessarie per tutta la durata dell’appalto:   </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 xml:space="preserve">     </w:t>
      </w:r>
      <w:r>
        <w:rPr>
          <w:rFonts w:cs="Tahoma" w:ascii="Garamond" w:hAnsi="Garamond"/>
          <w:sz w:val="24"/>
          <w:szCs w:val="24"/>
          <w:lang w:val="it-IT"/>
        </w:rPr>
        <w:t>SI                NO</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w:t>
      </w:r>
      <w:r>
        <w:rPr>
          <w:rFonts w:cs="Tahoma" w:ascii="Garamond" w:hAnsi="Garamond"/>
          <w:sz w:val="24"/>
          <w:szCs w:val="24"/>
          <w:lang w:val="it-IT"/>
        </w:rPr>
        <w:tab/>
        <w:t>di non partecipare alla presente procedura in gara in proprio, come associata o come consorziata, e di non essere stata nominata ausiliaria di più di un concorrente:      SI         NO</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b/>
          <w:sz w:val="24"/>
          <w:szCs w:val="24"/>
          <w:lang w:val="it-IT"/>
        </w:rPr>
      </w:pPr>
      <w:r>
        <w:rPr>
          <w:rFonts w:cs="Tahoma" w:ascii="Garamond" w:hAnsi="Garamond"/>
          <w:b/>
          <w:sz w:val="24"/>
          <w:szCs w:val="24"/>
          <w:lang w:val="it-IT"/>
        </w:rPr>
        <w:t>ULTERIORI DICHIARAZIONI</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L’operatore economico dichiara:</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284" w:right="0" w:firstLine="76"/>
        <w:rPr>
          <w:rFonts w:cs="Tahoma" w:ascii="Garamond" w:hAnsi="Garamond"/>
          <w:sz w:val="24"/>
          <w:szCs w:val="24"/>
          <w:lang w:val="it-IT"/>
        </w:rPr>
      </w:pPr>
      <w:r>
        <w:rPr>
          <w:rFonts w:cs="Tahoma" w:ascii="Garamond" w:hAnsi="Garamond"/>
          <w:b/>
          <w:sz w:val="24"/>
          <w:szCs w:val="24"/>
          <w:lang w:val="it-IT"/>
        </w:rPr>
        <w:t>i.</w:t>
      </w:r>
      <w:r>
        <w:rPr>
          <w:rFonts w:cs="Tahoma" w:ascii="Garamond" w:hAnsi="Garamond"/>
          <w:sz w:val="24"/>
          <w:szCs w:val="24"/>
          <w:lang w:val="it-IT"/>
        </w:rPr>
        <w:t xml:space="preserve"> 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Sche3"/>
        <w:tabs>
          <w:tab w:val="left" w:pos="284" w:leader="none"/>
          <w:tab w:val="left" w:pos="1276" w:leader="none"/>
        </w:tabs>
        <w:ind w:left="284" w:right="0" w:firstLine="76"/>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284" w:right="0" w:firstLine="76"/>
        <w:rPr>
          <w:rFonts w:cs="Tahoma" w:ascii="Garamond" w:hAnsi="Garamond"/>
          <w:sz w:val="24"/>
          <w:szCs w:val="24"/>
          <w:lang w:val="it-IT"/>
        </w:rPr>
      </w:pPr>
      <w:r>
        <w:rPr>
          <w:rFonts w:cs="Tahoma" w:ascii="Garamond" w:hAnsi="Garamond"/>
          <w:b/>
          <w:sz w:val="24"/>
          <w:szCs w:val="24"/>
          <w:lang w:val="it-IT"/>
        </w:rPr>
        <w:t xml:space="preserve">ii. </w:t>
      </w:r>
      <w:r>
        <w:rPr>
          <w:rFonts w:cs="Tahoma" w:ascii="Garamond" w:hAnsi="Garamond"/>
          <w:sz w:val="24"/>
          <w:szCs w:val="24"/>
          <w:lang w:val="it-IT"/>
        </w:rPr>
        <w:t>di non aver violato l’art. 5, comma 2, lett. c), l. 15 dicembre 1990, n. 386 (“Nuova disciplina sanzionatoria degli assegni bancari”);</w:t>
      </w:r>
    </w:p>
    <w:p>
      <w:pPr>
        <w:pStyle w:val="Sche3"/>
        <w:tabs>
          <w:tab w:val="left" w:pos="284" w:leader="none"/>
          <w:tab w:val="left" w:pos="1276" w:leader="none"/>
        </w:tabs>
        <w:ind w:left="284" w:right="0" w:firstLine="76"/>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284" w:right="0" w:firstLine="76"/>
        <w:rPr>
          <w:rFonts w:cs="Tahoma" w:ascii="Garamond" w:hAnsi="Garamond"/>
          <w:sz w:val="24"/>
          <w:szCs w:val="24"/>
          <w:lang w:val="it-IT"/>
        </w:rPr>
      </w:pPr>
      <w:r>
        <w:rPr>
          <w:rFonts w:cs="Tahoma" w:ascii="Garamond" w:hAnsi="Garamond"/>
          <w:b/>
          <w:sz w:val="24"/>
          <w:szCs w:val="24"/>
          <w:lang w:val="it-IT"/>
        </w:rPr>
        <w:t>iii.</w:t>
      </w:r>
      <w:r>
        <w:rPr>
          <w:rFonts w:cs="Tahoma" w:ascii="Garamond" w:hAnsi="Garamond"/>
          <w:sz w:val="24"/>
          <w:szCs w:val="24"/>
          <w:lang w:val="it-IT"/>
        </w:rPr>
        <w:t xml:space="preserve"> di essere informato, ai sensi dell’art. 13 del Regolamento Europeo n. 679/2016  che i dati personali   raccolti saranno trattati, anche con strumenti informatici, esclusivamente nell’ambito della presente gara, nonché dell’esistenza dei diritti di cui al medesimo Regolamento; </w:t>
      </w:r>
    </w:p>
    <w:p>
      <w:pPr>
        <w:pStyle w:val="Sche3"/>
        <w:tabs>
          <w:tab w:val="left" w:pos="284" w:leader="none"/>
          <w:tab w:val="left" w:pos="1276" w:leader="none"/>
        </w:tabs>
        <w:ind w:left="284" w:right="0" w:firstLine="76"/>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284" w:right="0" w:firstLine="76"/>
        <w:rPr>
          <w:rFonts w:eastAsia="Tahoma" w:cs="Tahoma" w:ascii="Garamond" w:hAnsi="Garamond"/>
          <w:sz w:val="24"/>
          <w:szCs w:val="24"/>
          <w:lang w:val="it-IT"/>
        </w:rPr>
      </w:pPr>
      <w:r>
        <w:rPr>
          <w:rFonts w:cs="Tahoma" w:ascii="Garamond" w:hAnsi="Garamond"/>
          <w:b/>
          <w:bCs/>
          <w:sz w:val="24"/>
          <w:szCs w:val="24"/>
          <w:lang w:val="it-IT"/>
        </w:rPr>
        <w:t>iv.</w:t>
      </w:r>
      <w:r>
        <w:rPr>
          <w:rFonts w:cs="Tahoma" w:ascii="Garamond" w:hAnsi="Garamond"/>
          <w:sz w:val="24"/>
          <w:szCs w:val="24"/>
          <w:lang w:val="it-IT"/>
        </w:rPr>
        <w:t xml:space="preserve"> </w:t>
      </w:r>
      <w:r>
        <w:rPr>
          <w:rFonts w:eastAsia="Tahoma" w:cs="Tahoma" w:ascii="Garamond" w:hAnsi="Garamond"/>
          <w:sz w:val="24"/>
          <w:szCs w:val="24"/>
          <w:lang w:val="it-IT"/>
        </w:rPr>
        <w:t xml:space="preserve">di essere edotto degli obblighi derivanti dal codice di comportamento di cui al D.P.R. n. 62/2013, come recepito dal Comune committente con deliberazione di Giunta Comunale n. 252 del 19/12/2013, reperibile sul sito internet istituzionale del Comune di Scandiano alla sezione “Amministrazione trasparente &gt; Disposizioni generali &gt; Atti generali &gt; Codice disciplinare e codice di condotta” e si impegna, in caso di aggiudicazione, ad osservare ed a far osservare ai propri dipendenti e collaboratori il suddetto codice, pena la risoluzione del contratto:            </w:t>
      </w:r>
      <w:r>
        <w:rPr>
          <w:rFonts w:eastAsia="Symbol" w:cs="Symbol" w:ascii="Symbol" w:hAnsi="Symbol"/>
          <w:sz w:val="24"/>
          <w:szCs w:val="24"/>
          <w:lang w:val="it-IT"/>
        </w:rPr>
        <w:t></w:t>
      </w:r>
      <w:r>
        <w:rPr>
          <w:rFonts w:eastAsia="Tahoma" w:cs="Tahoma" w:ascii="Garamond" w:hAnsi="Garamond"/>
          <w:sz w:val="24"/>
          <w:szCs w:val="24"/>
          <w:lang w:val="it-IT"/>
        </w:rPr>
        <w:t xml:space="preserve">   SI                    </w:t>
      </w:r>
      <w:r>
        <w:rPr>
          <w:rFonts w:eastAsia="Symbol" w:cs="Symbol" w:ascii="Symbol" w:hAnsi="Symbol"/>
          <w:sz w:val="24"/>
          <w:szCs w:val="24"/>
          <w:lang w:val="it-IT"/>
        </w:rPr>
        <w:t></w:t>
      </w:r>
      <w:r>
        <w:rPr>
          <w:rFonts w:eastAsia="Tahoma" w:cs="Tahoma" w:ascii="Garamond" w:hAnsi="Garamond"/>
          <w:sz w:val="24"/>
          <w:szCs w:val="24"/>
          <w:lang w:val="it-IT"/>
        </w:rPr>
        <w:t xml:space="preserve">   NO</w:t>
      </w:r>
    </w:p>
    <w:p>
      <w:pPr>
        <w:pStyle w:val="Sche3"/>
        <w:tabs>
          <w:tab w:val="left" w:pos="284" w:leader="none"/>
          <w:tab w:val="left" w:pos="1276" w:leader="none"/>
        </w:tabs>
        <w:ind w:left="284" w:right="0" w:firstLine="76"/>
        <w:rPr>
          <w:rFonts w:cs="Tahoma" w:ascii="Garamond" w:hAnsi="Garamond"/>
          <w:bCs/>
          <w:sz w:val="24"/>
          <w:szCs w:val="24"/>
          <w:lang w:val="it-IT"/>
        </w:rPr>
      </w:pPr>
      <w:r>
        <w:rPr>
          <w:rFonts w:cs="Tahoma" w:ascii="Garamond" w:hAnsi="Garamond"/>
          <w:bCs/>
          <w:sz w:val="24"/>
          <w:szCs w:val="24"/>
          <w:lang w:val="it-IT"/>
        </w:rPr>
      </w:r>
    </w:p>
    <w:p>
      <w:pPr>
        <w:pStyle w:val="Normal"/>
        <w:widowControl w:val="false"/>
        <w:tabs>
          <w:tab w:val="left" w:pos="454" w:leader="none"/>
          <w:tab w:val="left" w:pos="1446" w:leader="none"/>
        </w:tabs>
        <w:suppressAutoHyphens w:val="true"/>
        <w:bidi w:val="0"/>
        <w:spacing w:lineRule="auto" w:line="276"/>
        <w:ind w:left="283" w:right="0" w:hanging="0"/>
        <w:jc w:val="both"/>
        <w:textAlignment w:val="baseline"/>
        <w:rPr>
          <w:rFonts w:eastAsia="Tahoma" w:cs="Cambria" w:ascii="Garamond" w:hAnsi="Garamond"/>
          <w:bCs/>
          <w:sz w:val="24"/>
          <w:szCs w:val="24"/>
          <w:lang w:val="it-IT"/>
        </w:rPr>
      </w:pPr>
      <w:r>
        <w:rPr>
          <w:rFonts w:eastAsia="Tahoma" w:cs="Cambria" w:ascii="Garamond" w:hAnsi="Garamond"/>
          <w:b/>
          <w:bCs/>
          <w:sz w:val="24"/>
          <w:szCs w:val="24"/>
          <w:lang w:val="it-IT"/>
        </w:rPr>
        <w:t>v</w:t>
      </w:r>
      <w:r>
        <w:rPr>
          <w:rFonts w:eastAsia="Tahoma" w:cs="Cambria" w:ascii="Garamond" w:hAnsi="Garamond"/>
          <w:bCs/>
          <w:sz w:val="24"/>
          <w:szCs w:val="24"/>
          <w:lang w:val="it-IT"/>
        </w:rPr>
        <w:t xml:space="preserve">. </w:t>
      </w:r>
      <w:r>
        <w:rPr>
          <w:rFonts w:eastAsia="Tahoma" w:cs="Cambria" w:ascii="Garamond" w:hAnsi="Garamond"/>
          <w:b/>
          <w:bCs/>
          <w:sz w:val="24"/>
          <w:szCs w:val="24"/>
          <w:lang w:val="it-IT"/>
        </w:rPr>
        <w:t xml:space="preserve">[Per gli operatori economici non residenti e privi di stabile organizzazione in Italia] </w:t>
      </w:r>
      <w:r>
        <w:rPr>
          <w:rFonts w:eastAsia="Tahoma" w:cs="Cambria" w:ascii="Garamond" w:hAnsi="Garamond"/>
          <w:bCs/>
          <w:sz w:val="24"/>
          <w:szCs w:val="24"/>
          <w:lang w:val="it-IT"/>
        </w:rPr>
        <w:t xml:space="preserve">si impegna ad uniformarsi, in caso di aggiudicazione, alla disciplina di cui agli articoli 17, comma 2, e 53, comma 3 del d.p.r. 633/1972 e a comunicare alla stazione appaltante la nomina del proprio rappresentante fiscale, nelle forme di legge:           SI              NO           </w:t>
      </w:r>
    </w:p>
    <w:p>
      <w:pPr>
        <w:pStyle w:val="Sche3"/>
        <w:tabs>
          <w:tab w:val="left" w:pos="284" w:leader="none"/>
          <w:tab w:val="left" w:pos="1276" w:leader="none"/>
        </w:tabs>
        <w:ind w:left="644" w:right="0" w:hanging="284"/>
        <w:rPr>
          <w:rFonts w:cs="Tahoma" w:ascii="Garamond" w:hAnsi="Garamond"/>
          <w:b/>
          <w:sz w:val="24"/>
          <w:szCs w:val="24"/>
          <w:u w:val="single"/>
          <w:lang w:val="it-IT"/>
        </w:rPr>
      </w:pPr>
      <w:r>
        <w:rPr>
          <w:rFonts w:cs="Tahoma" w:ascii="Garamond" w:hAnsi="Garamond"/>
          <w:b/>
          <w:sz w:val="24"/>
          <w:szCs w:val="24"/>
          <w:u w:val="single"/>
          <w:lang w:val="it-IT"/>
        </w:rPr>
      </w:r>
    </w:p>
    <w:p>
      <w:pPr>
        <w:pStyle w:val="Sche3"/>
        <w:tabs>
          <w:tab w:val="left" w:pos="284" w:leader="none"/>
          <w:tab w:val="left" w:pos="1276" w:leader="none"/>
        </w:tabs>
        <w:ind w:left="284" w:right="0" w:firstLine="76"/>
        <w:rPr>
          <w:rFonts w:cs="Tahoma" w:ascii="Garamond" w:hAnsi="Garamond"/>
          <w:sz w:val="24"/>
          <w:szCs w:val="24"/>
          <w:lang w:val="it-IT"/>
        </w:rPr>
      </w:pPr>
      <w:r>
        <w:rPr>
          <w:rFonts w:cs="Tahoma" w:ascii="Garamond" w:hAnsi="Garamond"/>
          <w:b/>
          <w:bCs/>
          <w:sz w:val="24"/>
          <w:szCs w:val="24"/>
          <w:lang w:val="it-IT"/>
        </w:rPr>
        <w:t>vi.</w:t>
      </w:r>
      <w:r>
        <w:rPr>
          <w:rFonts w:cs="Tahoma" w:ascii="Garamond" w:hAnsi="Garamond"/>
          <w:sz w:val="24"/>
          <w:szCs w:val="24"/>
          <w:lang w:val="it-IT"/>
        </w:rPr>
        <w:t xml:space="preserve"> [</w:t>
      </w:r>
      <w:r>
        <w:rPr>
          <w:rFonts w:cs="Tahoma" w:ascii="Garamond" w:hAnsi="Garamond"/>
          <w:b/>
          <w:sz w:val="24"/>
          <w:szCs w:val="24"/>
          <w:lang w:val="it-IT"/>
        </w:rPr>
        <w:t>solo per gli operatori economici ammessi al concordato preventivo con continuità aziendale di cui all’art. 186 bis del R.D. 16 marzo 1942, n. 267</w:t>
      </w:r>
      <w:r>
        <w:rPr>
          <w:rFonts w:cs="Tahoma" w:ascii="Garamond" w:hAnsi="Garamond"/>
          <w:sz w:val="24"/>
          <w:szCs w:val="24"/>
          <w:lang w:val="it-IT"/>
        </w:rPr>
        <w:t>] indica, ad integrazione di quanto indicato nella parte III, sez. C, lett. d) del DGUE, i seguenti estremi del provvedimento di ammissione al concordato e del provvedimento di autorizzazione a partecipare alle gare</w:t>
      </w:r>
      <w:r>
        <w:rPr>
          <w:rFonts w:cs="Tahoma" w:ascii="Garamond" w:hAnsi="Garamond"/>
          <w:b/>
          <w:sz w:val="24"/>
          <w:szCs w:val="24"/>
          <w:lang w:val="it-IT"/>
        </w:rPr>
        <w:t xml:space="preserve"> </w:t>
      </w:r>
      <w:r>
        <w:rPr>
          <w:rFonts w:cs="Tahoma" w:ascii="Garamond" w:hAnsi="Garamond"/>
          <w:sz w:val="24"/>
          <w:szCs w:val="24"/>
          <w:lang w:val="it-IT"/>
        </w:rPr>
        <w:t xml:space="preserve">rilasciati dal Tribunale di  nonché dichiara di non partecipare alla gara quale mandataria di un raggruppamento temporaneo di imprese e che le altre imprese aderenti al raggruppamento non sono assoggettate ad una procedura concorsuale ai sensi dell’art. 186 </w:t>
      </w:r>
      <w:r>
        <w:rPr>
          <w:rFonts w:cs="Tahoma" w:ascii="Garamond" w:hAnsi="Garamond"/>
          <w:i/>
          <w:iCs/>
          <w:sz w:val="24"/>
          <w:szCs w:val="24"/>
          <w:lang w:val="it-IT"/>
        </w:rPr>
        <w:t>bis</w:t>
      </w:r>
      <w:r>
        <w:rPr>
          <w:rFonts w:cs="Tahoma" w:ascii="Garamond" w:hAnsi="Garamond"/>
          <w:sz w:val="24"/>
          <w:szCs w:val="24"/>
          <w:lang w:val="it-IT"/>
        </w:rPr>
        <w:t xml:space="preserve">, comma 6, del R.D. 16 marzo 1942, n. 267:  </w:t>
      </w:r>
      <w:r>
        <w:rPr>
          <w:rFonts w:eastAsia="Symbol" w:cs="Symbol" w:ascii="Symbol" w:hAnsi="Symbol"/>
          <w:sz w:val="24"/>
          <w:szCs w:val="24"/>
        </w:rPr>
        <w:t></w:t>
      </w:r>
      <w:r>
        <w:rPr>
          <w:rFonts w:cs="Tahoma" w:ascii="Garamond" w:hAnsi="Garamond"/>
          <w:sz w:val="24"/>
          <w:szCs w:val="24"/>
          <w:lang w:val="it-IT"/>
        </w:rPr>
        <w:t xml:space="preserve">   SI           </w:t>
      </w:r>
      <w:r>
        <w:rPr>
          <w:rFonts w:eastAsia="Symbol" w:cs="Symbol" w:ascii="Symbol" w:hAnsi="Symbol"/>
          <w:sz w:val="24"/>
          <w:szCs w:val="24"/>
        </w:rPr>
        <w:t></w:t>
      </w:r>
      <w:r>
        <w:rPr>
          <w:rFonts w:cs="Tahoma" w:ascii="Garamond" w:hAnsi="Garamond"/>
          <w:sz w:val="24"/>
          <w:szCs w:val="24"/>
          <w:lang w:val="it-IT"/>
        </w:rPr>
        <w:t xml:space="preserve">   NO           </w:t>
      </w:r>
      <w:r>
        <w:rPr>
          <w:rFonts w:eastAsia="Symbol" w:cs="Symbol" w:ascii="Symbol" w:hAnsi="Symbol"/>
          <w:sz w:val="24"/>
          <w:szCs w:val="24"/>
        </w:rPr>
        <w:t></w:t>
      </w:r>
      <w:r>
        <w:rPr>
          <w:rFonts w:cs="Tahoma" w:ascii="Garamond" w:hAnsi="Garamond"/>
          <w:sz w:val="24"/>
          <w:szCs w:val="24"/>
          <w:lang w:val="it-IT"/>
        </w:rPr>
        <w:t xml:space="preserve">   Non applicabile</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Luogo a data___________________</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ab/>
        <w:tab/>
        <w:tab/>
        <w:tab/>
        <w:tab/>
        <w:tab/>
        <w:tab/>
        <w:tab/>
        <w:tab/>
        <w:t xml:space="preserve">        IL RICHIEDENTE</w:t>
      </w:r>
    </w:p>
    <w:p>
      <w:pPr>
        <w:pStyle w:val="Sche3"/>
        <w:tabs>
          <w:tab w:val="left" w:pos="284" w:leader="none"/>
          <w:tab w:val="left" w:pos="1276" w:leader="none"/>
        </w:tabs>
        <w:ind w:left="644" w:right="0" w:hanging="284"/>
        <w:rPr>
          <w:rFonts w:cs="Tahoma" w:ascii="Garamond" w:hAnsi="Garamond"/>
          <w:sz w:val="24"/>
          <w:szCs w:val="24"/>
          <w:lang w:val="it-IT"/>
        </w:rPr>
      </w:pPr>
      <w:r>
        <w:rPr>
          <w:rFonts w:cs="Tahoma" w:ascii="Garamond" w:hAnsi="Garamond"/>
          <w:sz w:val="24"/>
          <w:szCs w:val="24"/>
          <w:lang w:val="it-IT"/>
        </w:rPr>
        <w:tab/>
        <w:tab/>
        <w:tab/>
        <w:tab/>
        <w:tab/>
        <w:tab/>
        <w:tab/>
        <w:tab/>
        <w:t xml:space="preserve">                  (firmato digitalmente)</w:t>
      </w:r>
    </w:p>
    <w:sectPr>
      <w:headerReference w:type="default" r:id="rId2"/>
      <w:footerReference w:type="default" r:id="rId3"/>
      <w:footnotePr>
        <w:numFmt w:val="decimal"/>
      </w:footnotePr>
      <w:type w:val="nextPage"/>
      <w:pgSz w:w="11906" w:h="16838"/>
      <w:pgMar w:left="851" w:right="855" w:header="396" w:top="1939" w:footer="720" w:bottom="777"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roman"/>
    <w:pitch w:val="variable"/>
  </w:font>
  <w:font w:name="Arial Unicode MS">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tab/>
    </w:r>
    <w:r>
      <w:rPr/>
      <w:fldChar w:fldCharType="begin"/>
    </w:r>
    <w:r>
      <w:instrText> PAGE </w:instrText>
    </w:r>
    <w:r>
      <w:fldChar w:fldCharType="separate"/>
    </w:r>
    <w:r>
      <w:t>6</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rPr>
      </w:pPr>
      <w:r>
        <w:rPr>
          <w:rStyle w:val="Footnotereference"/>
        </w:rPr>
        <w:footnoteRef/>
        <w:tab/>
      </w:r>
      <w:r>
        <w:rPr>
          <w:rStyle w:val="Footnotereference"/>
        </w:rPr>
        <w:t>2</w:t>
      </w:r>
      <w:r>
        <w:rPr/>
        <w:t xml:space="preserve"> </w:t>
      </w:r>
      <w:r>
        <w:rPr>
          <w:rFonts w:ascii="Garamond" w:hAnsi="Garamond"/>
          <w:sz w:val="20"/>
          <w:szCs w:val="20"/>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w:t>
      </w:r>
      <w:r>
        <w:rPr>
          <w:rFonts w:ascii="Garamond" w:hAnsi="Garamond"/>
        </w:rPr>
        <w:t xml:space="preserve"> </w:t>
      </w:r>
      <w:r>
        <w:rPr>
          <w:rFonts w:ascii="Garamond" w:hAnsi="Garamond"/>
          <w:sz w:val="20"/>
          <w:szCs w:val="20"/>
        </w:rPr>
        <w:t>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ascii="Garamond" w:hAnsi="Garamond"/>
        <w:b w:val="false"/>
        <w:bCs w:val="false"/>
        <w:sz w:val="24"/>
        <w:szCs w:val="24"/>
      </w:rPr>
    </w:pPr>
    <w:r>
      <w:rPr>
        <w:rFonts w:cs="Tahoma" w:ascii="Garamond" w:hAnsi="Garamond"/>
        <w:b w:val="false"/>
        <w:bCs w:val="false"/>
        <w:sz w:val="24"/>
        <w:szCs w:val="24"/>
      </w:rPr>
      <w:t>Allegato 5_ dichiarazioni integrative DGUE ausiliaria</w:t>
    </w:r>
  </w:p>
  <w:p>
    <w:pPr>
      <w:pStyle w:val="Normal"/>
      <w:widowControl/>
      <w:jc w:val="center"/>
      <w:rPr>
        <w:rStyle w:val="Caratterenotaapidipagina"/>
        <w:rFonts w:cs="Tahoma" w:ascii="Garamond" w:hAnsi="Garamond"/>
        <w:b w:val="false"/>
        <w:bCs w:val="false"/>
        <w:position w:val="0"/>
        <w:sz w:val="20"/>
        <w:sz w:val="24"/>
        <w:szCs w:val="24"/>
        <w:vertAlign w:val="baseline"/>
      </w:rPr>
    </w:pPr>
    <w:r>
      <w:rPr>
        <w:rFonts w:cs="Tahoma" w:ascii="Garamond" w:hAnsi="Garamond"/>
        <w:b w:val="false"/>
        <w:bCs w:val="false"/>
        <w:sz w:val="24"/>
        <w:szCs w:val="24"/>
      </w:rPr>
      <w:t>DICHIARAZIONI INTEGRATIVE AL DGUE</w:t>
    </w:r>
    <w:r>
      <w:rPr>
        <w:rStyle w:val="Caratterenotaapidipagina"/>
        <w:rFonts w:cs="Tahoma" w:ascii="Garamond" w:hAnsi="Garamond"/>
        <w:b w:val="false"/>
        <w:bCs w:val="false"/>
        <w:sz w:val="24"/>
        <w:szCs w:val="24"/>
      </w:rPr>
      <w:t xml:space="preserve"> - </w:t>
    </w:r>
    <w:r>
      <w:rPr>
        <w:rStyle w:val="Caratterenotaapidipagina"/>
        <w:rFonts w:cs="Tahoma" w:ascii="Garamond" w:hAnsi="Garamond"/>
        <w:b w:val="false"/>
        <w:bCs w:val="false"/>
        <w:position w:val="0"/>
        <w:sz w:val="20"/>
        <w:sz w:val="24"/>
        <w:szCs w:val="24"/>
        <w:vertAlign w:val="baseline"/>
      </w:rPr>
      <w:t xml:space="preserve">AUSILIARIA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customStyle="1">
    <w:name w:val="Collegamento Internet"/>
    <w:qForma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eastAsia="OpenSymbol" w:cs="OpenSymbol"/>
    </w:rPr>
  </w:style>
  <w:style w:type="character" w:styleId="ListLabel3">
    <w:name w:val="ListLabel 3"/>
    <w:qFormat/>
    <w:rPr>
      <w:rFonts w:eastAsia="OpenSymbol" w:cs="OpenSymbol"/>
    </w:rPr>
  </w:style>
  <w:style w:type="character" w:styleId="ListLabel4">
    <w:name w:val="ListLabel 4"/>
    <w:qFormat/>
    <w:rPr>
      <w:rFonts w:eastAsia="OpenSymbol" w:cs="OpenSymbol"/>
    </w:rPr>
  </w:style>
  <w:style w:type="character" w:styleId="ListLabel5">
    <w:name w:val="ListLabel 5"/>
    <w:qFormat/>
    <w:rPr>
      <w:rFonts w:eastAsia="OpenSymbol" w:cs="OpenSymbol"/>
    </w:rPr>
  </w:style>
  <w:style w:type="character" w:styleId="ListLabel6">
    <w:name w:val="ListLabel 6"/>
    <w:qFormat/>
    <w:rPr>
      <w:rFonts w:eastAsia="OpenSymbol" w:cs="OpenSymbol"/>
    </w:rPr>
  </w:style>
  <w:style w:type="character" w:styleId="ListLabel7">
    <w:name w:val="ListLabel 7"/>
    <w:qFormat/>
    <w:rPr>
      <w:rFonts w:eastAsia="OpenSymbol" w:cs="OpenSymbol"/>
    </w:rPr>
  </w:style>
  <w:style w:type="character" w:styleId="ListLabel8">
    <w:name w:val="ListLabel 8"/>
    <w:qFormat/>
    <w:rPr>
      <w:rFonts w:eastAsia="OpenSymbol" w:cs="OpenSymbol"/>
    </w:rPr>
  </w:style>
  <w:style w:type="character" w:styleId="ListLabel9">
    <w:name w:val="ListLabel 9"/>
    <w:qFormat/>
    <w:rPr>
      <w:rFonts w:eastAsia="OpenSymbol" w:cs="OpenSymbol"/>
    </w:rPr>
  </w:style>
  <w:style w:type="character" w:styleId="ListLabel10">
    <w:name w:val="ListLabel 10"/>
    <w:qFormat/>
    <w:rPr>
      <w:rFonts w:eastAsia="OpenSymbol" w:cs="OpenSymbol"/>
    </w:rPr>
  </w:style>
  <w:style w:type="character" w:styleId="ListLabel11">
    <w:name w:val="ListLabel 11"/>
    <w:qFormat/>
    <w:rPr>
      <w:rFonts w:eastAsia="OpenSymbol" w:cs="OpenSymbol"/>
    </w:rPr>
  </w:style>
  <w:style w:type="character" w:styleId="ListLabel12">
    <w:name w:val="ListLabel 12"/>
    <w:qFormat/>
    <w:rPr>
      <w:rFonts w:eastAsia="OpenSymbol" w:cs="OpenSymbol"/>
    </w:rPr>
  </w:style>
  <w:style w:type="character" w:styleId="ListLabel13">
    <w:name w:val="ListLabel 13"/>
    <w:qFormat/>
    <w:rPr>
      <w:rFonts w:eastAsia="OpenSymbol" w:cs="OpenSymbol"/>
    </w:rPr>
  </w:style>
  <w:style w:type="character" w:styleId="ListLabel14">
    <w:name w:val="ListLabel 14"/>
    <w:qFormat/>
    <w:rPr>
      <w:rFonts w:eastAsia="OpenSymbol" w:cs="OpenSymbol"/>
    </w:rPr>
  </w:style>
  <w:style w:type="character" w:styleId="ListLabel15">
    <w:name w:val="ListLabel 15"/>
    <w:qFormat/>
    <w:rPr>
      <w:rFonts w:eastAsia="OpenSymbol" w:cs="OpenSymbol"/>
    </w:rPr>
  </w:style>
  <w:style w:type="character" w:styleId="ListLabel16">
    <w:name w:val="ListLabel 16"/>
    <w:qFormat/>
    <w:rPr>
      <w:rFonts w:eastAsia="OpenSymbol" w:cs="OpenSymbol"/>
    </w:rPr>
  </w:style>
  <w:style w:type="character" w:styleId="ListLabel17">
    <w:name w:val="ListLabel 17"/>
    <w:qFormat/>
    <w:rPr>
      <w:rFonts w:eastAsia="OpenSymbol" w:cs="OpenSymbol"/>
    </w:rPr>
  </w:style>
  <w:style w:type="character" w:styleId="ListLabel18">
    <w:name w:val="ListLabel 18"/>
    <w:qFormat/>
    <w:rPr>
      <w:rFonts w:eastAsia="OpenSymbol" w:cs="OpenSymbol"/>
    </w:rPr>
  </w:style>
  <w:style w:type="character" w:styleId="ListLabel19">
    <w:name w:val="ListLabel 19"/>
    <w:qFormat/>
    <w:rPr>
      <w:rFonts w:eastAsia="OpenSymbol" w:cs="OpenSymbol"/>
    </w:rPr>
  </w:style>
  <w:style w:type="character" w:styleId="ListLabel20">
    <w:name w:val="ListLabel 20"/>
    <w:qFormat/>
    <w:rPr>
      <w:rFonts w:eastAsia="OpenSymbol" w:cs="OpenSymbol"/>
    </w:rPr>
  </w:style>
  <w:style w:type="character" w:styleId="ListLabel21">
    <w:name w:val="ListLabel 21"/>
    <w:qFormat/>
    <w:rPr>
      <w:rFonts w:eastAsia="OpenSymbol" w:cs="OpenSymbol"/>
    </w:rPr>
  </w:style>
  <w:style w:type="character" w:styleId="ListLabel22">
    <w:name w:val="ListLabel 22"/>
    <w:qFormat/>
    <w:rPr>
      <w:rFonts w:eastAsia="OpenSymbol" w:cs="OpenSymbol"/>
    </w:rPr>
  </w:style>
  <w:style w:type="character" w:styleId="ListLabel23">
    <w:name w:val="ListLabel 23"/>
    <w:qFormat/>
    <w:rPr>
      <w:rFonts w:eastAsia="OpenSymbol" w:cs="OpenSymbol"/>
    </w:rPr>
  </w:style>
  <w:style w:type="character" w:styleId="ListLabel24">
    <w:name w:val="ListLabel 24"/>
    <w:qFormat/>
    <w:rPr>
      <w:rFonts w:eastAsia="OpenSymbol" w:cs="OpenSymbol"/>
    </w:rPr>
  </w:style>
  <w:style w:type="character" w:styleId="ListLabel25">
    <w:name w:val="ListLabel 25"/>
    <w:qFormat/>
    <w:rPr>
      <w:rFonts w:eastAsia="OpenSymbol" w:cs="OpenSymbol"/>
    </w:rPr>
  </w:style>
  <w:style w:type="character" w:styleId="ListLabel26">
    <w:name w:val="ListLabel 26"/>
    <w:qFormat/>
    <w:rPr>
      <w:rFonts w:eastAsia="OpenSymbol" w:cs="OpenSymbol"/>
    </w:rPr>
  </w:style>
  <w:style w:type="character" w:styleId="ListLabel27">
    <w:name w:val="ListLabel 27"/>
    <w:qFormat/>
    <w:rPr>
      <w:rFonts w:eastAsia="OpenSymbol" w:cs="OpenSymbol"/>
    </w:rPr>
  </w:style>
  <w:style w:type="character" w:styleId="ListLabel28">
    <w:name w:val="ListLabel 28"/>
    <w:qFormat/>
    <w:rPr>
      <w:rFonts w:eastAsia="OpenSymbol" w:cs="OpenSymbol"/>
    </w:rPr>
  </w:style>
  <w:style w:type="character" w:styleId="ListLabel29">
    <w:name w:val="ListLabel 29"/>
    <w:qFormat/>
    <w:rPr>
      <w:rFonts w:eastAsia="OpenSymbol" w:cs="OpenSymbol"/>
    </w:rPr>
  </w:style>
  <w:style w:type="character" w:styleId="ListLabel30">
    <w:name w:val="ListLabel 30"/>
    <w:qFormat/>
    <w:rPr>
      <w:rFonts w:eastAsia="OpenSymbol" w:cs="OpenSymbol"/>
    </w:rPr>
  </w:style>
  <w:style w:type="character" w:styleId="ListLabel31">
    <w:name w:val="ListLabel 31"/>
    <w:qFormat/>
    <w:rPr>
      <w:rFonts w:eastAsia="OpenSymbol" w:cs="OpenSymbol"/>
    </w:rPr>
  </w:style>
  <w:style w:type="character" w:styleId="ListLabel32">
    <w:name w:val="ListLabel 32"/>
    <w:qFormat/>
    <w:rPr>
      <w:rFonts w:eastAsia="OpenSymbol" w:cs="OpenSymbol"/>
    </w:rPr>
  </w:style>
  <w:style w:type="character" w:styleId="ListLabel33">
    <w:name w:val="ListLabel 33"/>
    <w:qFormat/>
    <w:rPr>
      <w:rFonts w:eastAsia="OpenSymbol" w:cs="OpenSymbol"/>
    </w:rPr>
  </w:style>
  <w:style w:type="character" w:styleId="ListLabel34">
    <w:name w:val="ListLabel 34"/>
    <w:qFormat/>
    <w:rPr>
      <w:rFonts w:eastAsia="OpenSymbol" w:cs="OpenSymbol"/>
    </w:rPr>
  </w:style>
  <w:style w:type="character" w:styleId="ListLabel35">
    <w:name w:val="ListLabel 35"/>
    <w:qFormat/>
    <w:rPr>
      <w:rFonts w:eastAsia="OpenSymbol" w:cs="OpenSymbol"/>
    </w:rPr>
  </w:style>
  <w:style w:type="character" w:styleId="ListLabel36">
    <w:name w:val="ListLabel 36"/>
    <w:qFormat/>
    <w:rPr>
      <w:rFonts w:eastAsia="OpenSymbol" w:cs="OpenSymbol"/>
    </w:rPr>
  </w:style>
  <w:style w:type="character" w:styleId="ListLabel37">
    <w:name w:val="ListLabel 37"/>
    <w:qFormat/>
    <w:rPr>
      <w:rFonts w:eastAsia="OpenSymbol" w:cs="OpenSymbol"/>
    </w:rPr>
  </w:style>
  <w:style w:type="character" w:styleId="ListLabel38">
    <w:name w:val="ListLabel 38"/>
    <w:qFormat/>
    <w:rPr>
      <w:rFonts w:eastAsia="OpenSymbol" w:cs="OpenSymbol"/>
    </w:rPr>
  </w:style>
  <w:style w:type="character" w:styleId="ListLabel39">
    <w:name w:val="ListLabel 39"/>
    <w:qFormat/>
    <w:rPr>
      <w:rFonts w:eastAsia="OpenSymbol" w:cs="OpenSymbol"/>
    </w:rPr>
  </w:style>
  <w:style w:type="character" w:styleId="ListLabel40">
    <w:name w:val="ListLabel 40"/>
    <w:qFormat/>
    <w:rPr>
      <w:rFonts w:eastAsia="OpenSymbol" w:cs="OpenSymbol"/>
    </w:rPr>
  </w:style>
  <w:style w:type="character" w:styleId="ListLabel41">
    <w:name w:val="ListLabel 41"/>
    <w:qFormat/>
    <w:rPr>
      <w:rFonts w:eastAsia="OpenSymbol" w:cs="OpenSymbol"/>
    </w:rPr>
  </w:style>
  <w:style w:type="character" w:styleId="ListLabel42">
    <w:name w:val="ListLabel 42"/>
    <w:qFormat/>
    <w:rPr>
      <w:rFonts w:eastAsia="OpenSymbol" w:cs="OpenSymbol"/>
    </w:rPr>
  </w:style>
  <w:style w:type="character" w:styleId="ListLabel43">
    <w:name w:val="ListLabel 43"/>
    <w:qFormat/>
    <w:rPr>
      <w:rFonts w:eastAsia="OpenSymbol" w:cs="OpenSymbol"/>
    </w:rPr>
  </w:style>
  <w:style w:type="character" w:styleId="ListLabel44">
    <w:name w:val="ListLabel 44"/>
    <w:qFormat/>
    <w:rPr>
      <w:rFonts w:eastAsia="OpenSymbol" w:cs="OpenSymbol"/>
    </w:rPr>
  </w:style>
  <w:style w:type="character" w:styleId="ListLabel45">
    <w:name w:val="ListLabel 45"/>
    <w:qFormat/>
    <w:rPr>
      <w:rFonts w:eastAsia="OpenSymbol" w:cs="OpenSymbol"/>
    </w:rPr>
  </w:style>
  <w:style w:type="character" w:styleId="ListLabel46">
    <w:name w:val="ListLabel 46"/>
    <w:qFormat/>
    <w:rPr>
      <w:rFonts w:eastAsia="OpenSymbol" w:cs="OpenSymbol"/>
    </w:rPr>
  </w:style>
  <w:style w:type="character" w:styleId="ListLabel47">
    <w:name w:val="ListLabel 47"/>
    <w:qFormat/>
    <w:rPr>
      <w:rFonts w:eastAsia="OpenSymbol" w:cs="OpenSymbol"/>
    </w:rPr>
  </w:style>
  <w:style w:type="character" w:styleId="ListLabel48">
    <w:name w:val="ListLabel 48"/>
    <w:qFormat/>
    <w:rPr>
      <w:rFonts w:eastAsia="OpenSymbol" w:cs="OpenSymbol"/>
    </w:rPr>
  </w:style>
  <w:style w:type="character" w:styleId="ListLabel49">
    <w:name w:val="ListLabel 49"/>
    <w:qFormat/>
    <w:rPr>
      <w:rFonts w:eastAsia="OpenSymbol" w:cs="OpenSymbol"/>
    </w:rPr>
  </w:style>
  <w:style w:type="character" w:styleId="ListLabel50">
    <w:name w:val="ListLabel 50"/>
    <w:qFormat/>
    <w:rPr>
      <w:rFonts w:eastAsia="OpenSymbol" w:cs="OpenSymbol"/>
    </w:rPr>
  </w:style>
  <w:style w:type="character" w:styleId="ListLabel51">
    <w:name w:val="ListLabel 51"/>
    <w:qFormat/>
    <w:rPr>
      <w:rFonts w:eastAsia="OpenSymbol" w:cs="OpenSymbol"/>
    </w:rPr>
  </w:style>
  <w:style w:type="character" w:styleId="ListLabel52">
    <w:name w:val="ListLabel 52"/>
    <w:qFormat/>
    <w:rPr>
      <w:rFonts w:eastAsia="OpenSymbol" w:cs="OpenSymbol"/>
    </w:rPr>
  </w:style>
  <w:style w:type="character" w:styleId="ListLabel53">
    <w:name w:val="ListLabel 53"/>
    <w:qFormat/>
    <w:rPr>
      <w:rFonts w:eastAsia="OpenSymbol" w:cs="OpenSymbol"/>
    </w:rPr>
  </w:style>
  <w:style w:type="character" w:styleId="ListLabel54">
    <w:name w:val="ListLabel 54"/>
    <w:qFormat/>
    <w:rPr>
      <w:rFonts w:eastAsia="OpenSymbol" w:cs="OpenSymbol"/>
    </w:rPr>
  </w:style>
  <w:style w:type="character" w:styleId="ListLabel55">
    <w:name w:val="ListLabel 55"/>
    <w:qFormat/>
    <w:rPr>
      <w:rFonts w:ascii="Garamond" w:hAnsi="Garamond" w:cs="Times New Roman"/>
      <w:b/>
      <w:i w:val="false"/>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sz w:val="16"/>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sz w:val="16"/>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Times New Roman"/>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77">
    <w:name w:val="ListLabel 77"/>
    <w:qFormat/>
    <w:rPr>
      <w:rFonts w:cs="Symbol"/>
    </w:rPr>
  </w:style>
  <w:style w:type="character" w:styleId="ListLabel78">
    <w:name w:val="ListLabel 78"/>
    <w:qFormat/>
    <w:rPr>
      <w:rFonts w:cs="Times New Roman"/>
      <w:b/>
      <w:i w:val="false"/>
    </w:rPr>
  </w:style>
  <w:style w:type="character" w:styleId="ListLabel79">
    <w:name w:val="ListLabel 79"/>
    <w:qFormat/>
    <w:rPr>
      <w:rFonts w:cs="Courier New"/>
    </w:rPr>
  </w:style>
  <w:style w:type="character" w:styleId="ListLabel80">
    <w:name w:val="ListLabel 80"/>
    <w:qFormat/>
    <w:rPr>
      <w:rFonts w:cs="Wingdings"/>
    </w:rPr>
  </w:style>
  <w:style w:type="character" w:styleId="Caratteredellanota">
    <w:name w:val="Carattere della nota"/>
    <w:qFormat/>
    <w:rPr/>
  </w:style>
  <w:style w:type="character" w:styleId="Carpredefinitoparagrafo">
    <w:name w:val="Car. predefinito paragrafo"/>
    <w:qFormat/>
    <w:rPr/>
  </w:style>
  <w:style w:type="character" w:styleId="ListLabel81">
    <w:name w:val="ListLabel 81"/>
    <w:qFormat/>
    <w:rPr>
      <w:rFonts w:ascii="Garamond" w:hAnsi="Garamond" w:cs="Symbol"/>
    </w:rPr>
  </w:style>
  <w:style w:type="character" w:styleId="ListLabel82">
    <w:name w:val="ListLabel 82"/>
    <w:qFormat/>
    <w:rPr>
      <w:rFonts w:ascii="Garamond" w:hAnsi="Garamond" w:cs="Garamond"/>
      <w:b/>
      <w:i w:val="false"/>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Garamond" w:hAnsi="Garamond" w:cs="Symbol"/>
    </w:rPr>
  </w:style>
  <w:style w:type="character" w:styleId="ListLabel92">
    <w:name w:val="ListLabel 92"/>
    <w:qFormat/>
    <w:rPr>
      <w:rFonts w:ascii="Garamond" w:hAnsi="Garamond" w:cs="Garamond"/>
      <w:b/>
      <w:i w:val="false"/>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Garamond" w:hAnsi="Garamond" w:cs="Symbol"/>
    </w:rPr>
  </w:style>
  <w:style w:type="character" w:styleId="ListLabel102">
    <w:name w:val="ListLabel 102"/>
    <w:qFormat/>
    <w:rPr>
      <w:rFonts w:ascii="Garamond" w:hAnsi="Garamond" w:cs="Symbol"/>
    </w:rPr>
  </w:style>
  <w:style w:type="character" w:styleId="ListLabel103">
    <w:name w:val="ListLabel 103"/>
    <w:qFormat/>
    <w:rPr>
      <w:rFonts w:ascii="Garamond" w:hAnsi="Garamond" w:cs="Symbol"/>
    </w:rPr>
  </w:style>
  <w:style w:type="character" w:styleId="ListLabel104">
    <w:name w:val="ListLabel 104"/>
    <w:rPr>
      <w:rFonts w:cs="Symbol"/>
    </w:rPr>
  </w:style>
  <w:style w:type="character" w:styleId="ListLabel105">
    <w:name w:val="ListLabel 105"/>
    <w:rPr>
      <w:rFonts w:cs="Symbol"/>
    </w:rPr>
  </w:style>
  <w:style w:type="paragraph" w:styleId="Titolo" w:customStyle="1">
    <w:name w:val="Titolo"/>
    <w:qFormat/>
    <w:basedOn w:val="Normal"/>
    <w:next w:val="Corpodeltesto"/>
    <w:pPr>
      <w:keepNext/>
      <w:widowControl w:val="false"/>
      <w:bidi w:val="0"/>
      <w:spacing w:before="240" w:after="120"/>
      <w:jc w:val="center"/>
    </w:pPr>
    <w:rPr>
      <w:rFonts w:ascii="Times New Roman" w:hAnsi="Times New Roman" w:eastAsia="Times New Roman" w:cs="Times New Roman"/>
      <w:b/>
      <w:bCs/>
      <w:color w:val="00000A"/>
      <w:sz w:val="56"/>
      <w:szCs w:val="56"/>
      <w:lang w:val="it-IT" w:eastAsia="it-IT" w:bidi="ar-SA"/>
    </w:rPr>
  </w:style>
  <w:style w:type="paragraph" w:styleId="Corpodeltesto" w:customStyle="1">
    <w:name w:val="Corpo del testo"/>
    <w:qFormat/>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Testocitato" w:customStyle="1">
    <w:name w:val="Testo citato"/>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name w:val="Nota a piè di pagina"/>
    <w:qFormat/>
    <w:basedOn w:val="Normal"/>
    <w:pPr>
      <w:suppressLineNumbers/>
      <w:ind w:left="283" w:right="0" w:hanging="283"/>
    </w:pPr>
    <w:rPr>
      <w:sz w:val="20"/>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442B-1080-46B8-A612-72F7E33C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2018-12-20T15:20:00Z</dcterms:created>
  <dc:language>it-IT</dc:language>
  <cp:lastPrinted>2018-12-31T11:07:05Z</cp:lastPrinted>
  <dcterms:modified xsi:type="dcterms:W3CDTF">2018-12-31T13:20:56Z</dcterms:modified>
  <cp:revision>10</cp:revision>
</cp:coreProperties>
</file>