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4"/>
          <w:szCs w:val="24"/>
        </w:rPr>
      </w:pPr>
      <w:bookmarkStart w:id="0" w:name="OLE_LINK41"/>
      <w:bookmarkStart w:id="1" w:name="OLE_LINK46"/>
      <w:bookmarkEnd w:id="0"/>
      <w:bookmarkEnd w:id="1"/>
      <w:r>
        <w:rPr>
          <w:b w:val="false"/>
          <w:bCs w:val="false"/>
          <w:sz w:val="24"/>
          <w:szCs w:val="24"/>
        </w:rPr>
        <w:t>Spett.le</w:t>
      </w:r>
    </w:p>
    <w:p>
      <w:pPr>
        <w:pStyle w:val="Normal"/>
        <w:tabs>
          <w:tab w:val="left" w:pos="5160" w:leader="none"/>
        </w:tabs>
        <w:spacing w:before="119" w:after="0"/>
        <w:contextualSpacing/>
        <w:jc w:val="right"/>
        <w:rPr>
          <w:b/>
          <w:sz w:val="24"/>
          <w:szCs w:val="24"/>
        </w:rPr>
      </w:pPr>
      <w:r>
        <w:rPr>
          <w:b/>
          <w:sz w:val="24"/>
          <w:szCs w:val="24"/>
        </w:rPr>
        <w:t>Centrale Unica di Committenza</w:t>
      </w:r>
    </w:p>
    <w:p>
      <w:pPr>
        <w:pStyle w:val="Normal"/>
        <w:tabs>
          <w:tab w:val="left" w:pos="5160" w:leader="none"/>
        </w:tabs>
        <w:spacing w:before="119" w:after="0"/>
        <w:contextualSpacing/>
        <w:jc w:val="right"/>
        <w:rPr>
          <w:b/>
          <w:sz w:val="24"/>
          <w:szCs w:val="24"/>
        </w:rPr>
      </w:pPr>
      <w:r>
        <w:rPr>
          <w:b/>
          <w:sz w:val="24"/>
          <w:szCs w:val="24"/>
        </w:rPr>
        <w:t>dell’Unione Tresinaro Secchia</w:t>
      </w:r>
    </w:p>
    <w:p>
      <w:pPr>
        <w:pStyle w:val="Normal"/>
        <w:tabs>
          <w:tab w:val="left" w:pos="5160" w:leader="none"/>
        </w:tabs>
        <w:spacing w:before="119" w:after="0"/>
        <w:contextualSpacing/>
        <w:jc w:val="right"/>
        <w:rPr>
          <w:b w:val="false"/>
          <w:bCs w:val="false"/>
          <w:sz w:val="24"/>
          <w:szCs w:val="24"/>
        </w:rPr>
      </w:pPr>
      <w:r>
        <w:rPr>
          <w:b w:val="false"/>
          <w:bCs w:val="false"/>
          <w:sz w:val="24"/>
          <w:szCs w:val="24"/>
        </w:rPr>
        <w:t>Corso Vallisneri, n. 6/E</w:t>
      </w:r>
    </w:p>
    <w:p>
      <w:pPr>
        <w:pStyle w:val="Normal"/>
        <w:widowControl/>
        <w:tabs>
          <w:tab w:val="left" w:pos="5160" w:leader="none"/>
        </w:tabs>
        <w:spacing w:before="119" w:after="0"/>
        <w:contextualSpacing/>
        <w:jc w:val="right"/>
        <w:rPr>
          <w:b w:val="false"/>
          <w:bCs w:val="false"/>
          <w:sz w:val="24"/>
          <w:szCs w:val="24"/>
        </w:rPr>
      </w:pPr>
      <w:r>
        <w:rPr>
          <w:b w:val="false"/>
          <w:bCs w:val="false"/>
          <w:sz w:val="24"/>
          <w:szCs w:val="24"/>
        </w:rPr>
        <w:t>42019 Scandiano (RE)</w:t>
      </w:r>
    </w:p>
    <w:p>
      <w:pPr>
        <w:pStyle w:val="Normal"/>
        <w:widowControl/>
        <w:ind w:left="360" w:right="0" w:hanging="0"/>
        <w:jc w:val="right"/>
        <w:rPr>
          <w:sz w:val="24"/>
          <w:szCs w:val="24"/>
          <w:u w:val="single"/>
        </w:rPr>
      </w:pPr>
      <w:bookmarkStart w:id="2" w:name="OLE_LINK20"/>
      <w:bookmarkStart w:id="3" w:name="OLE_LINK24"/>
      <w:bookmarkEnd w:id="2"/>
      <w:bookmarkEnd w:id="3"/>
      <w:r>
        <w:rPr>
          <w:sz w:val="24"/>
          <w:szCs w:val="24"/>
          <w:u w:val="single"/>
        </w:rPr>
        <w:t xml:space="preserve">Inviato mediante Piattaforma </w:t>
      </w:r>
      <w:r>
        <w:rPr>
          <w:sz w:val="24"/>
          <w:szCs w:val="24"/>
          <w:u w:val="single"/>
        </w:rPr>
        <w:t>SATER</w:t>
      </w:r>
    </w:p>
    <w:p>
      <w:pPr>
        <w:pStyle w:val="Normal"/>
        <w:ind w:left="360" w:right="0" w:hanging="0"/>
        <w:jc w:val="center"/>
        <w:rPr>
          <w:rFonts w:cs="Tahoma"/>
          <w:sz w:val="24"/>
          <w:szCs w:val="24"/>
        </w:rPr>
      </w:pPr>
      <w:r>
        <w:rPr>
          <w:rFonts w:cs="Tahoma"/>
          <w:sz w:val="24"/>
          <w:szCs w:val="24"/>
        </w:rPr>
      </w:r>
    </w:p>
    <w:p>
      <w:pPr>
        <w:pStyle w:val="Normal"/>
        <w:ind w:left="360" w:right="0" w:hanging="0"/>
        <w:jc w:val="center"/>
        <w:rPr>
          <w:rFonts w:cs="Tahoma"/>
          <w:sz w:val="24"/>
          <w:szCs w:val="24"/>
        </w:rPr>
      </w:pPr>
      <w:bookmarkStart w:id="4" w:name="OLE_LINK1"/>
      <w:bookmarkStart w:id="5" w:name="OLE_LINK40"/>
      <w:bookmarkStart w:id="6" w:name="OLE_LINK201"/>
      <w:bookmarkStart w:id="7" w:name="OLE_LINK1"/>
      <w:bookmarkStart w:id="8" w:name="OLE_LINK40"/>
      <w:bookmarkStart w:id="9" w:name="OLE_LINK201"/>
      <w:bookmarkEnd w:id="7"/>
      <w:bookmarkEnd w:id="8"/>
      <w:bookmarkEnd w:id="9"/>
      <w:r>
        <w:rPr>
          <w:rFonts w:cs="Tahoma"/>
          <w:sz w:val="24"/>
          <w:szCs w:val="24"/>
        </w:rPr>
      </w:r>
    </w:p>
    <w:p>
      <w:pPr>
        <w:pStyle w:val="Corpodeltesto"/>
        <w:spacing w:lineRule="atLeast" w:line="340"/>
        <w:jc w:val="both"/>
        <w:rPr>
          <w:rStyle w:val="Carpredefinitoparagrafo"/>
          <w:rFonts w:eastAsia="Times New Roman" w:cs="Times New Roman"/>
          <w:b w:val="false"/>
          <w:bCs w:val="false"/>
          <w:color w:val="00000A"/>
          <w:sz w:val="24"/>
          <w:szCs w:val="24"/>
          <w:u w:val="none"/>
          <w:lang w:val="it-IT" w:eastAsia="zh-CN" w:bidi="hi-IN"/>
        </w:rPr>
      </w:pPr>
      <w:r>
        <w:rPr>
          <w:rStyle w:val="Carpredefinitoparagrafo"/>
          <w:rFonts w:eastAsia="Times New Roman" w:cs="Times New Roman"/>
          <w:b/>
          <w:bCs/>
          <w:color w:val="00000A"/>
          <w:sz w:val="24"/>
          <w:szCs w:val="24"/>
          <w:u w:val="none"/>
          <w:lang w:val="it-IT" w:eastAsia="zh-CN" w:bidi="hi-IN"/>
        </w:rPr>
        <w:t xml:space="preserve">OGGETTO: </w:t>
      </w:r>
      <w:r>
        <w:rPr>
          <w:rStyle w:val="Carpredefinitoparagrafo"/>
          <w:rFonts w:eastAsia="Times New Roman" w:cs="Times New Roman"/>
          <w:b w:val="false"/>
          <w:bCs w:val="false"/>
          <w:color w:val="00000A"/>
          <w:sz w:val="24"/>
          <w:szCs w:val="24"/>
          <w:u w:val="none"/>
          <w:lang w:val="it-IT" w:eastAsia="zh-CN" w:bidi="hi-IN"/>
        </w:rPr>
        <w:t xml:space="preserve">PROCEDURA APERTA </w:t>
      </w:r>
      <w:r>
        <w:rPr>
          <w:rStyle w:val="Carpredefinitoparagrafo"/>
          <w:rFonts w:eastAsia="Times New Roman" w:cs="Times New Roman"/>
          <w:b/>
          <w:bCs/>
          <w:color w:val="00000A"/>
          <w:sz w:val="24"/>
          <w:szCs w:val="24"/>
          <w:u w:val="none"/>
          <w:lang w:val="it-IT" w:eastAsia="zh-CN" w:bidi="hi-IN"/>
        </w:rPr>
        <w:t>TELEMATICA SU PIATTAFORMA SATER</w:t>
      </w:r>
      <w:r>
        <w:rPr>
          <w:rStyle w:val="Carpredefinitoparagrafo"/>
          <w:rFonts w:eastAsia="Times New Roman" w:cs="Times New Roman"/>
          <w:b w:val="false"/>
          <w:bCs w:val="false"/>
          <w:color w:val="00000A"/>
          <w:sz w:val="24"/>
          <w:szCs w:val="24"/>
          <w:u w:val="none"/>
          <w:lang w:val="it-IT" w:eastAsia="zh-CN" w:bidi="hi-IN"/>
        </w:rPr>
        <w:t xml:space="preserve"> PER L’AFFIDAMENTO IN APPALTO DELLA GESTIONE DELLA PALESTRA </w:t>
      </w:r>
      <w:r>
        <w:rPr>
          <w:rStyle w:val="Carpredefinitoparagrafo"/>
          <w:rFonts w:eastAsia="Times New Roman" w:cs="Times New Roman"/>
          <w:b w:val="false"/>
          <w:bCs w:val="false"/>
          <w:i/>
          <w:iCs/>
          <w:color w:val="00000A"/>
          <w:sz w:val="24"/>
          <w:szCs w:val="24"/>
          <w:u w:val="none"/>
          <w:lang w:val="it-IT" w:eastAsia="zh-CN" w:bidi="hi-IN"/>
        </w:rPr>
        <w:t>“BERGIANTI”</w:t>
      </w:r>
      <w:r>
        <w:rPr>
          <w:rStyle w:val="Carpredefinitoparagrafo"/>
          <w:rFonts w:eastAsia="Times New Roman" w:cs="Times New Roman"/>
          <w:b w:val="false"/>
          <w:bCs w:val="false"/>
          <w:color w:val="00000A"/>
          <w:sz w:val="24"/>
          <w:szCs w:val="24"/>
          <w:u w:val="none"/>
          <w:lang w:val="it-IT" w:eastAsia="zh-CN" w:bidi="hi-IN"/>
        </w:rPr>
        <w:t xml:space="preserve">  E DEI RELATIVI SPOGLIATOI DI VIA ALDO MORO A RUBIERA (RE).</w:t>
      </w:r>
    </w:p>
    <w:p>
      <w:pPr>
        <w:pStyle w:val="Normal"/>
        <w:spacing w:lineRule="atLeast" w:line="340"/>
        <w:jc w:val="both"/>
        <w:rPr>
          <w:rStyle w:val="Carpredefinitoparagrafo"/>
          <w:rFonts w:eastAsia="Times New Roman" w:cs="Times New Roman"/>
          <w:b/>
          <w:bCs/>
          <w:caps/>
          <w:color w:val="00000A"/>
          <w:sz w:val="24"/>
          <w:szCs w:val="24"/>
          <w:u w:val="none"/>
          <w:shd w:fill="FFFFFF" w:val="clear"/>
          <w:lang w:val="it-IT" w:eastAsia="zh-CN" w:bidi="hi-IN"/>
        </w:rPr>
      </w:pPr>
      <w:r>
        <w:rPr>
          <w:rStyle w:val="Carpredefinitoparagrafo"/>
          <w:rFonts w:eastAsia="Times New Roman" w:cs="Times New Roman"/>
          <w:b/>
          <w:bCs/>
          <w:caps/>
          <w:color w:val="00000A"/>
          <w:sz w:val="24"/>
          <w:szCs w:val="24"/>
          <w:u w:val="none"/>
          <w:shd w:fill="FFFFFF" w:val="clear"/>
          <w:lang w:val="it-IT" w:eastAsia="zh-CN" w:bidi="hi-IN"/>
        </w:rPr>
        <w:t>CIG: 7750183555</w:t>
      </w:r>
    </w:p>
    <w:p>
      <w:pPr>
        <w:pStyle w:val="Normal"/>
        <w:spacing w:lineRule="atLeast" w:line="340"/>
        <w:jc w:val="both"/>
        <w:rPr>
          <w:rStyle w:val="Carpredefinitoparagrafo"/>
          <w:rFonts w:eastAsia="Times New Roman" w:cs="Times New Roman"/>
          <w:b w:val="false"/>
          <w:bCs w:val="false"/>
          <w:caps/>
          <w:color w:val="00000A"/>
          <w:sz w:val="24"/>
          <w:szCs w:val="24"/>
          <w:u w:val="none"/>
          <w:shd w:fill="FFFFFF" w:val="clear"/>
          <w:lang w:val="it-IT" w:eastAsia="zh-CN" w:bidi="hi-IN"/>
        </w:rPr>
      </w:pPr>
      <w:r>
        <w:rPr>
          <w:rStyle w:val="Carpredefinitoparagrafo"/>
          <w:rFonts w:eastAsia="Times New Roman" w:cs="Times New Roman"/>
          <w:b w:val="false"/>
          <w:bCs w:val="false"/>
          <w:caps/>
          <w:color w:val="00000A"/>
          <w:sz w:val="24"/>
          <w:szCs w:val="24"/>
          <w:u w:val="none"/>
          <w:shd w:fill="FFFFFF" w:val="clear"/>
          <w:lang w:val="it-IT" w:eastAsia="zh-CN" w:bidi="hi-IN"/>
        </w:rPr>
        <w:t>CPV: 92610000-0 Servizi di gestione di impianti sportivi</w:t>
      </w:r>
    </w:p>
    <w:p>
      <w:pPr>
        <w:pStyle w:val="Titolo6"/>
        <w:ind w:left="0" w:right="0" w:hanging="0"/>
        <w:rPr>
          <w:rFonts w:eastAsia="Arial Unicode MS" w:cs="Tahoma"/>
          <w:b w:val="false"/>
          <w:bCs/>
          <w:sz w:val="24"/>
          <w:szCs w:val="24"/>
        </w:rPr>
      </w:pPr>
      <w:r>
        <w:rPr>
          <w:rFonts w:eastAsia="Arial Unicode MS" w:cs="Tahoma"/>
          <w:b w:val="false"/>
          <w:bCs/>
          <w:sz w:val="24"/>
          <w:szCs w:val="24"/>
        </w:rPr>
      </w:r>
    </w:p>
    <w:p>
      <w:pPr>
        <w:pStyle w:val="Normal"/>
        <w:rPr>
          <w:rFonts w:eastAsia="Arial Unicode MS" w:cs="Tahoma"/>
          <w:sz w:val="24"/>
          <w:szCs w:val="24"/>
        </w:rPr>
      </w:pPr>
      <w:r>
        <w:rPr>
          <w:rFonts w:eastAsia="Arial Unicode MS" w:cs="Tahoma"/>
          <w:sz w:val="24"/>
          <w:szCs w:val="24"/>
        </w:rPr>
      </w:r>
    </w:p>
    <w:p>
      <w:pPr>
        <w:pStyle w:val="Normal"/>
        <w:widowControl/>
        <w:suppressAutoHyphens w:val="true"/>
        <w:bidi w:val="0"/>
        <w:spacing w:lineRule="auto" w:line="276"/>
        <w:ind w:left="0" w:right="0" w:hanging="0"/>
        <w:jc w:val="both"/>
        <w:rPr>
          <w:rFonts w:cs="Tahoma"/>
          <w:sz w:val="24"/>
          <w:szCs w:val="24"/>
        </w:rPr>
      </w:pPr>
      <w:bookmarkStart w:id="10" w:name="OLE_LINK211"/>
      <w:bookmarkStart w:id="11" w:name="OLE_LINK22"/>
      <w:bookmarkEnd w:id="10"/>
      <w:bookmarkEnd w:id="11"/>
      <w:r>
        <w:rPr>
          <w:rFonts w:cs="Tahoma"/>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Tahoma"/>
          <w:sz w:val="24"/>
          <w:szCs w:val="24"/>
        </w:rPr>
      </w:pPr>
      <w:r>
        <w:rPr>
          <w:rFonts w:cs="Tahoma"/>
          <w:sz w:val="24"/>
          <w:szCs w:val="24"/>
        </w:rPr>
      </w:r>
    </w:p>
    <w:p>
      <w:pPr>
        <w:pStyle w:val="Normal"/>
        <w:widowControl/>
        <w:spacing w:lineRule="auto" w:line="360"/>
        <w:jc w:val="both"/>
        <w:rPr>
          <w:rFonts w:cs="Tahoma"/>
          <w:sz w:val="24"/>
          <w:szCs w:val="24"/>
        </w:rPr>
      </w:pPr>
      <w:r>
        <w:rPr>
          <w:rFonts w:cs="Tahoma"/>
          <w:sz w:val="24"/>
          <w:szCs w:val="24"/>
        </w:rPr>
      </w:r>
    </w:p>
    <w:p>
      <w:pPr>
        <w:pStyle w:val="Normal"/>
        <w:widowControl/>
        <w:spacing w:lineRule="auto" w:line="360"/>
        <w:jc w:val="both"/>
        <w:rPr>
          <w:rFonts w:cs="Tahoma"/>
          <w:sz w:val="24"/>
          <w:szCs w:val="24"/>
          <w:lang w:eastAsia="it-IT"/>
        </w:rPr>
      </w:pPr>
      <w:bookmarkStart w:id="12" w:name="OLE_LINK261"/>
      <w:bookmarkEnd w:id="12"/>
      <w:r>
        <w:rPr>
          <w:rFonts w:cs="Tahoma"/>
          <w:sz w:val="24"/>
          <w:szCs w:val="24"/>
          <w:lang w:eastAsia="it-IT"/>
        </w:rPr>
        <w:t>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____________________________________________________________________________________ Tel___________/________________ E-mail________________________ PEC____________________________</w:t>
      </w:r>
    </w:p>
    <w:p>
      <w:pPr>
        <w:pStyle w:val="Sche3"/>
        <w:widowControl/>
        <w:spacing w:lineRule="auto" w:line="276"/>
        <w:jc w:val="center"/>
        <w:rPr>
          <w:rFonts w:cs="Tahoma"/>
          <w:sz w:val="24"/>
          <w:szCs w:val="24"/>
          <w:lang w:val="it-IT"/>
        </w:rPr>
      </w:pPr>
      <w:bookmarkStart w:id="13" w:name="OLE_LINK2611"/>
      <w:bookmarkStart w:id="14" w:name="OLE_LINK2611"/>
      <w:bookmarkEnd w:id="14"/>
      <w:r>
        <w:rPr>
          <w:rFonts w:cs="Tahoma"/>
          <w:sz w:val="24"/>
          <w:szCs w:val="24"/>
          <w:lang w:val="it-IT"/>
        </w:rPr>
      </w:r>
    </w:p>
    <w:p>
      <w:pPr>
        <w:pStyle w:val="Sche3"/>
        <w:widowControl/>
        <w:jc w:val="center"/>
        <w:rPr>
          <w:rFonts w:cs="Tahoma"/>
          <w:sz w:val="24"/>
          <w:szCs w:val="24"/>
          <w:u w:val="single"/>
          <w:lang w:val="it-IT"/>
        </w:rPr>
      </w:pPr>
      <w:r>
        <w:rPr>
          <w:rFonts w:cs="Tahoma"/>
          <w:sz w:val="24"/>
          <w:szCs w:val="24"/>
          <w:u w:val="single"/>
          <w:lang w:val="it-IT"/>
        </w:rPr>
      </w:r>
    </w:p>
    <w:p>
      <w:pPr>
        <w:pStyle w:val="Sche3"/>
        <w:jc w:val="center"/>
        <w:rPr>
          <w:rFonts w:cs="Tahoma"/>
          <w:sz w:val="24"/>
          <w:szCs w:val="24"/>
          <w:u w:val="single"/>
          <w:lang w:val="it-IT"/>
        </w:rPr>
      </w:pPr>
      <w:r>
        <w:rPr>
          <w:rFonts w:cs="Tahoma"/>
          <w:sz w:val="24"/>
          <w:szCs w:val="24"/>
          <w:u w:val="single"/>
          <w:lang w:val="it-IT"/>
        </w:rPr>
        <w:t>(barrare le caselle che corrispondono al vero e completare)</w:t>
      </w:r>
    </w:p>
    <w:p>
      <w:pPr>
        <w:pStyle w:val="Sche3"/>
        <w:jc w:val="center"/>
        <w:rPr>
          <w:rFonts w:cs="Tahoma"/>
          <w:i/>
          <w:sz w:val="24"/>
          <w:szCs w:val="24"/>
          <w:lang w:val="it-IT"/>
        </w:rPr>
      </w:pPr>
      <w:r>
        <w:rPr>
          <w:rFonts w:cs="Tahoma"/>
          <w:i/>
          <w:sz w:val="24"/>
          <w:szCs w:val="24"/>
          <w:lang w:val="it-IT"/>
        </w:rPr>
      </w:r>
    </w:p>
    <w:p>
      <w:pPr>
        <w:pStyle w:val="Sche3"/>
        <w:jc w:val="center"/>
        <w:rPr>
          <w:rFonts w:cs="Tahoma"/>
          <w:i/>
          <w:sz w:val="24"/>
          <w:szCs w:val="24"/>
          <w:lang w:val="it-IT"/>
        </w:rPr>
      </w:pPr>
      <w:r>
        <w:rPr>
          <w:rFonts w:cs="Tahoma"/>
          <w:i/>
          <w:sz w:val="24"/>
          <w:szCs w:val="24"/>
          <w:lang w:val="it-IT"/>
        </w:rPr>
      </w:r>
    </w:p>
    <w:p>
      <w:pPr>
        <w:pStyle w:val="Sche3"/>
        <w:jc w:val="center"/>
        <w:rPr>
          <w:rFonts w:cs="Tahoma"/>
          <w:b/>
          <w:bCs/>
          <w:sz w:val="24"/>
          <w:szCs w:val="24"/>
          <w:lang w:val="it-IT"/>
        </w:rPr>
      </w:pPr>
      <w:r>
        <w:rPr>
          <w:rFonts w:cs="Tahoma"/>
          <w:b/>
          <w:bCs/>
          <w:sz w:val="24"/>
          <w:szCs w:val="24"/>
          <w:lang w:val="it-IT"/>
        </w:rPr>
        <w:t>D I C H I A R A</w:t>
      </w:r>
    </w:p>
    <w:p>
      <w:pPr>
        <w:pStyle w:val="Sche3"/>
        <w:jc w:val="center"/>
        <w:rPr>
          <w:rFonts w:cs="Tahoma"/>
          <w:i/>
          <w:sz w:val="24"/>
          <w:szCs w:val="24"/>
          <w:lang w:val="it-IT"/>
        </w:rPr>
      </w:pPr>
      <w:r>
        <w:rPr>
          <w:rFonts w:cs="Tahoma"/>
          <w:i/>
          <w:sz w:val="24"/>
          <w:szCs w:val="24"/>
          <w:lang w:val="it-IT"/>
        </w:rPr>
      </w:r>
    </w:p>
    <w:p>
      <w:pPr>
        <w:pStyle w:val="Sche3"/>
        <w:ind w:left="426" w:right="0" w:hanging="0"/>
        <w:rPr>
          <w:rFonts w:cs="Tahoma"/>
          <w:iCs/>
          <w:sz w:val="24"/>
          <w:szCs w:val="24"/>
          <w:lang w:val="it-IT"/>
        </w:rPr>
      </w:pPr>
      <w:r>
        <w:rPr>
          <w:rFonts w:cs="Tahoma"/>
          <w:b/>
          <w:bCs/>
          <w:sz w:val="24"/>
          <w:szCs w:val="24"/>
          <w:lang w:val="it-IT"/>
        </w:rPr>
        <w:t xml:space="preserve">- </w:t>
      </w:r>
      <w:r>
        <w:rPr>
          <w:rFonts w:cs="Tahoma"/>
          <w:b/>
          <w:sz w:val="24"/>
          <w:szCs w:val="24"/>
          <w:lang w:val="it-IT"/>
        </w:rPr>
        <w:t>di partecipare alla procedura di gara in qualità di</w:t>
      </w:r>
      <w:r>
        <w:rPr>
          <w:rFonts w:cs="Tahoma"/>
          <w:sz w:val="24"/>
          <w:szCs w:val="24"/>
          <w:lang w:val="it-IT"/>
        </w:rPr>
        <w:t xml:space="preserve"> (</w:t>
      </w:r>
      <w:r>
        <w:rPr>
          <w:rFonts w:cs="Tahoma"/>
          <w:iCs/>
          <w:sz w:val="24"/>
          <w:szCs w:val="24"/>
          <w:lang w:val="it-IT"/>
        </w:rPr>
        <w:t>Art. 45, commi 1 e 2, del D. Lgs. 50/2016):</w:t>
      </w:r>
    </w:p>
    <w:p>
      <w:pPr>
        <w:pStyle w:val="Sche3"/>
        <w:ind w:left="426" w:right="0" w:hanging="0"/>
        <w:rPr>
          <w:rFonts w:cs="Tahoma"/>
          <w:iCs/>
          <w:sz w:val="24"/>
          <w:szCs w:val="24"/>
          <w:lang w:val="it-IT"/>
        </w:rPr>
      </w:pPr>
      <w:r>
        <w:rPr>
          <w:rFonts w:cs="Tahoma"/>
          <w:iCs/>
          <w:sz w:val="24"/>
          <w:szCs w:val="24"/>
          <w:lang w:val="it-IT"/>
        </w:rPr>
      </w:r>
    </w:p>
    <w:p>
      <w:pPr>
        <w:pStyle w:val="Sche3"/>
        <w:numPr>
          <w:ilvl w:val="0"/>
          <w:numId w:val="10"/>
        </w:numPr>
        <w:rPr>
          <w:rFonts w:cs="Tahoma"/>
          <w:iCs/>
          <w:sz w:val="24"/>
          <w:szCs w:val="24"/>
        </w:rPr>
      </w:pPr>
      <w:r>
        <w:rPr>
          <w:rFonts w:cs="Tahoma"/>
          <w:b/>
          <w:iCs/>
          <w:sz w:val="24"/>
          <w:szCs w:val="24"/>
          <w:u w:val="single"/>
        </w:rPr>
        <w:t>Concorrente singolo</w:t>
      </w:r>
      <w:r>
        <w:rPr>
          <w:rFonts w:cs="Tahoma"/>
          <w:iCs/>
          <w:sz w:val="24"/>
          <w:szCs w:val="24"/>
        </w:rPr>
        <w:t>;</w:t>
      </w:r>
    </w:p>
    <w:p>
      <w:pPr>
        <w:pStyle w:val="Sche3"/>
        <w:rPr>
          <w:rFonts w:cs="Tahoma"/>
          <w:iCs/>
          <w:sz w:val="24"/>
          <w:szCs w:val="24"/>
        </w:rPr>
      </w:pPr>
      <w:r>
        <w:rPr>
          <w:rFonts w:cs="Tahoma"/>
          <w:iCs/>
          <w:sz w:val="24"/>
          <w:szCs w:val="24"/>
        </w:rPr>
      </w:r>
    </w:p>
    <w:p>
      <w:pPr>
        <w:pStyle w:val="Sche3"/>
        <w:numPr>
          <w:ilvl w:val="0"/>
          <w:numId w:val="10"/>
        </w:numPr>
        <w:rPr>
          <w:rFonts w:cs="Tahoma"/>
          <w:iCs/>
          <w:sz w:val="24"/>
          <w:szCs w:val="24"/>
          <w:u w:val="single"/>
          <w:lang w:val="it-IT"/>
        </w:rPr>
      </w:pPr>
      <w:r>
        <w:rPr>
          <w:rFonts w:cs="Tahoma"/>
          <w:b/>
          <w:iCs/>
          <w:sz w:val="24"/>
          <w:szCs w:val="24"/>
          <w:u w:val="single"/>
          <w:lang w:val="it-IT"/>
        </w:rPr>
        <w:t>Consorzio fra società cooperative di produzione e lavoro (</w:t>
      </w:r>
      <w:r>
        <w:rPr>
          <w:rFonts w:cs="Tahoma"/>
          <w:iCs/>
          <w:sz w:val="24"/>
          <w:szCs w:val="24"/>
          <w:u w:val="single"/>
          <w:lang w:val="it-IT"/>
        </w:rPr>
        <w:t>art. 45, comma 2, lettera b) del D. Lgs. 50/2016);</w:t>
      </w:r>
    </w:p>
    <w:p>
      <w:pPr>
        <w:pStyle w:val="Sche3"/>
        <w:jc w:val="left"/>
        <w:rPr>
          <w:rFonts w:cs="Tahoma"/>
          <w:b/>
          <w:iCs/>
          <w:sz w:val="24"/>
          <w:szCs w:val="24"/>
          <w:u w:val="single"/>
          <w:lang w:val="it-IT"/>
        </w:rPr>
      </w:pPr>
      <w:r>
        <w:rPr>
          <w:rFonts w:cs="Tahoma"/>
          <w:b/>
          <w:iCs/>
          <w:sz w:val="24"/>
          <w:szCs w:val="24"/>
          <w:u w:val="single"/>
          <w:lang w:val="it-IT"/>
        </w:rPr>
      </w:r>
    </w:p>
    <w:p>
      <w:pPr>
        <w:pStyle w:val="Sche3"/>
        <w:numPr>
          <w:ilvl w:val="0"/>
          <w:numId w:val="10"/>
        </w:numPr>
        <w:rPr>
          <w:rFonts w:cs="Tahoma"/>
          <w:iCs/>
          <w:sz w:val="24"/>
          <w:szCs w:val="24"/>
          <w:u w:val="single"/>
          <w:lang w:val="it-IT"/>
        </w:rPr>
      </w:pPr>
      <w:r>
        <w:rPr>
          <w:rFonts w:cs="Tahoma"/>
          <w:b/>
          <w:iCs/>
          <w:sz w:val="24"/>
          <w:szCs w:val="24"/>
          <w:u w:val="single"/>
          <w:lang w:val="it-IT"/>
        </w:rPr>
        <w:t xml:space="preserve">Consorzio tra imprese artigiane </w:t>
      </w:r>
      <w:r>
        <w:rPr>
          <w:rFonts w:cs="Tahoma"/>
          <w:iCs/>
          <w:sz w:val="24"/>
          <w:szCs w:val="24"/>
          <w:u w:val="single"/>
          <w:lang w:val="it-IT"/>
        </w:rPr>
        <w:t>(art. 45, comma 2, lettera b) del D.Lgs. 50/2016);</w:t>
      </w:r>
    </w:p>
    <w:p>
      <w:pPr>
        <w:pStyle w:val="Sche3"/>
        <w:jc w:val="left"/>
        <w:rPr>
          <w:rFonts w:cs="Tahoma"/>
          <w:b/>
          <w:iCs/>
          <w:sz w:val="24"/>
          <w:szCs w:val="24"/>
          <w:u w:val="single"/>
          <w:lang w:val="it-IT"/>
        </w:rPr>
      </w:pPr>
      <w:r>
        <w:rPr>
          <w:rFonts w:cs="Tahoma"/>
          <w:b/>
          <w:iCs/>
          <w:sz w:val="24"/>
          <w:szCs w:val="24"/>
          <w:u w:val="single"/>
          <w:lang w:val="it-IT"/>
        </w:rPr>
      </w:r>
    </w:p>
    <w:p>
      <w:pPr>
        <w:pStyle w:val="Sche3"/>
        <w:jc w:val="left"/>
        <w:rPr>
          <w:rFonts w:cs="Tahoma"/>
          <w:b/>
          <w:iCs/>
          <w:sz w:val="24"/>
          <w:szCs w:val="24"/>
          <w:u w:val="single"/>
          <w:lang w:val="it-IT"/>
        </w:rPr>
      </w:pPr>
      <w:r>
        <w:rPr>
          <w:rFonts w:cs="Tahoma"/>
          <w:b/>
          <w:iCs/>
          <w:sz w:val="24"/>
          <w:szCs w:val="24"/>
          <w:u w:val="single"/>
          <w:lang w:val="it-IT"/>
        </w:rPr>
      </w:r>
    </w:p>
    <w:p>
      <w:pPr>
        <w:pStyle w:val="Sche3"/>
        <w:numPr>
          <w:ilvl w:val="0"/>
          <w:numId w:val="10"/>
        </w:numPr>
        <w:rPr>
          <w:rFonts w:cs="Tahoma"/>
          <w:iCs/>
          <w:sz w:val="24"/>
          <w:szCs w:val="24"/>
          <w:u w:val="single"/>
          <w:lang w:val="it-IT"/>
        </w:rPr>
      </w:pPr>
      <w:r>
        <w:rPr>
          <w:rFonts w:cs="Tahoma"/>
          <w:b/>
          <w:iCs/>
          <w:sz w:val="24"/>
          <w:szCs w:val="24"/>
          <w:u w:val="single"/>
          <w:lang w:val="it-IT"/>
        </w:rPr>
        <w:t xml:space="preserve">Consorzio stabile </w:t>
      </w:r>
      <w:r>
        <w:rPr>
          <w:rFonts w:cs="Tahoma"/>
          <w:iCs/>
          <w:sz w:val="24"/>
          <w:szCs w:val="24"/>
          <w:u w:val="single"/>
          <w:lang w:val="it-IT"/>
        </w:rPr>
        <w:t>(art. 45, comma 2, lettera c) del D. Lgs. 50/2016);</w:t>
      </w:r>
    </w:p>
    <w:p>
      <w:pPr>
        <w:pStyle w:val="Normal"/>
        <w:jc w:val="left"/>
        <w:rPr>
          <w:b/>
          <w:sz w:val="24"/>
          <w:szCs w:val="24"/>
        </w:rPr>
      </w:pPr>
      <w:r>
        <w:rPr>
          <w:b/>
          <w:sz w:val="24"/>
          <w:szCs w:val="24"/>
        </w:rPr>
      </w:r>
    </w:p>
    <w:p>
      <w:pPr>
        <w:pStyle w:val="Sche3"/>
        <w:jc w:val="left"/>
        <w:rPr>
          <w:rFonts w:cs="Tahoma"/>
          <w:iCs/>
          <w:sz w:val="24"/>
          <w:szCs w:val="24"/>
          <w:lang w:val="it-IT"/>
        </w:rPr>
      </w:pPr>
      <w:r>
        <w:rPr>
          <w:rFonts w:cs="Tahoma"/>
          <w:iCs/>
          <w:sz w:val="24"/>
          <w:szCs w:val="24"/>
          <w:lang w:val="it-IT"/>
        </w:rPr>
      </w:r>
    </w:p>
    <w:p>
      <w:pPr>
        <w:pStyle w:val="Sche3"/>
        <w:numPr>
          <w:ilvl w:val="0"/>
          <w:numId w:val="10"/>
        </w:numPr>
        <w:rPr>
          <w:rFonts w:cs="Tahoma"/>
          <w:iCs/>
          <w:sz w:val="24"/>
          <w:szCs w:val="24"/>
          <w:lang w:val="it-IT"/>
        </w:rPr>
      </w:pPr>
      <w:r>
        <w:rPr>
          <w:rFonts w:cs="Tahoma"/>
          <w:b/>
          <w:iCs/>
          <w:sz w:val="24"/>
          <w:szCs w:val="24"/>
          <w:u w:val="single"/>
          <w:lang w:val="it-IT"/>
        </w:rPr>
        <w:t>Componente di costituendo o costituito RTC – Consorzio ordinario – GEIE</w:t>
      </w:r>
      <w:r>
        <w:rPr>
          <w:rFonts w:cs="Tahoma"/>
          <w:iCs/>
          <w:sz w:val="24"/>
          <w:szCs w:val="24"/>
          <w:lang w:val="it-IT"/>
        </w:rPr>
        <w:t xml:space="preserve"> insieme a: _____________________________________________________________________________________________________________________________________________________;</w:t>
      </w:r>
    </w:p>
    <w:p>
      <w:pPr>
        <w:pStyle w:val="Sche3"/>
        <w:rPr>
          <w:rFonts w:cs="Tahoma"/>
          <w:iCs/>
          <w:sz w:val="24"/>
          <w:szCs w:val="24"/>
          <w:lang w:val="it-IT"/>
        </w:rPr>
      </w:pPr>
      <w:r>
        <w:rPr>
          <w:rFonts w:cs="Tahoma"/>
          <w:iCs/>
          <w:sz w:val="24"/>
          <w:szCs w:val="24"/>
          <w:lang w:val="it-IT"/>
        </w:rPr>
      </w:r>
    </w:p>
    <w:p>
      <w:pPr>
        <w:pStyle w:val="Sche3"/>
        <w:numPr>
          <w:ilvl w:val="0"/>
          <w:numId w:val="10"/>
        </w:numPr>
        <w:rPr>
          <w:rFonts w:cs="Tahoma"/>
          <w:iCs/>
          <w:sz w:val="24"/>
          <w:szCs w:val="24"/>
          <w:lang w:val="it-IT"/>
        </w:rPr>
      </w:pPr>
      <w:r>
        <w:rPr>
          <w:rFonts w:cs="Tahoma"/>
          <w:b/>
          <w:iCs/>
          <w:sz w:val="24"/>
          <w:szCs w:val="24"/>
          <w:u w:val="single"/>
          <w:lang w:val="it-IT"/>
        </w:rPr>
        <w:t>Consorziata del Consorzio</w:t>
      </w:r>
      <w:r>
        <w:rPr>
          <w:rFonts w:cs="Tahoma"/>
          <w:iCs/>
          <w:sz w:val="24"/>
          <w:szCs w:val="24"/>
          <w:lang w:val="it-IT"/>
        </w:rPr>
        <w:t xml:space="preserve"> (Art. 45, comma 2, let. b), c) del D. Lgs. 50/2016) ___________ __________________________________________________________________________;</w:t>
      </w:r>
    </w:p>
    <w:p>
      <w:pPr>
        <w:pStyle w:val="Sche3"/>
        <w:jc w:val="left"/>
        <w:rPr>
          <w:rFonts w:cs="Tahoma"/>
          <w:iCs/>
          <w:sz w:val="24"/>
          <w:szCs w:val="24"/>
          <w:lang w:val="it-IT"/>
        </w:rPr>
      </w:pPr>
      <w:r>
        <w:rPr>
          <w:rFonts w:cs="Tahoma"/>
          <w:iCs/>
          <w:sz w:val="24"/>
          <w:szCs w:val="24"/>
          <w:lang w:val="it-IT"/>
        </w:rPr>
      </w:r>
    </w:p>
    <w:p>
      <w:pPr>
        <w:pStyle w:val="Sche3"/>
        <w:numPr>
          <w:ilvl w:val="0"/>
          <w:numId w:val="10"/>
        </w:numPr>
        <w:rPr>
          <w:rFonts w:cs="Tahoma"/>
          <w:iCs/>
          <w:sz w:val="24"/>
          <w:szCs w:val="24"/>
          <w:lang w:val="it-IT"/>
        </w:rPr>
      </w:pPr>
      <w:r>
        <w:rPr>
          <w:rFonts w:cs="Tahoma"/>
          <w:b/>
          <w:iCs/>
          <w:sz w:val="24"/>
          <w:szCs w:val="24"/>
          <w:u w:val="single"/>
          <w:lang w:val="it-IT"/>
        </w:rPr>
        <w:t>Impresa aderente al contratto di rete</w:t>
      </w:r>
      <w:r>
        <w:rPr>
          <w:rFonts w:cs="Tahoma"/>
          <w:iCs/>
          <w:sz w:val="24"/>
          <w:szCs w:val="24"/>
          <w:lang w:val="it-IT"/>
        </w:rPr>
        <w:t xml:space="preserve"> ai sensi dell’art. 3, comma 4-ter del D.L. 10 febbraio 2009, n. 5, convertito con modificazioni dalla L. 9 aprile 2009, n. 33 (art. 45, comma 2 lettera f) D.Lgs. 50/2016)</w:t>
      </w:r>
    </w:p>
    <w:p>
      <w:pPr>
        <w:pStyle w:val="Sche3"/>
        <w:rPr>
          <w:rFonts w:cs="Tahoma"/>
          <w:iCs/>
          <w:sz w:val="24"/>
          <w:szCs w:val="24"/>
          <w:lang w:val="it-IT"/>
        </w:rPr>
      </w:pPr>
      <w:r>
        <w:rPr>
          <w:rFonts w:cs="Tahoma"/>
          <w:iCs/>
          <w:sz w:val="24"/>
          <w:szCs w:val="24"/>
          <w:lang w:val="it-IT"/>
        </w:rPr>
      </w:r>
    </w:p>
    <w:p>
      <w:pPr>
        <w:pStyle w:val="Sche3"/>
        <w:rPr>
          <w:rFonts w:cs="Tahoma"/>
          <w:sz w:val="24"/>
          <w:szCs w:val="24"/>
          <w:lang w:val="it-IT"/>
        </w:rPr>
      </w:pPr>
      <w:r>
        <w:rPr>
          <w:rFonts w:cs="Tahoma"/>
          <w:sz w:val="24"/>
          <w:szCs w:val="24"/>
          <w:lang w:val="it-IT"/>
        </w:rPr>
      </w:r>
    </w:p>
    <w:p>
      <w:pPr>
        <w:pStyle w:val="Sche3"/>
        <w:jc w:val="center"/>
        <w:rPr>
          <w:rFonts w:cs="Tahoma"/>
          <w:b/>
          <w:sz w:val="24"/>
          <w:szCs w:val="24"/>
          <w:lang w:val="it-IT"/>
        </w:rPr>
      </w:pPr>
      <w:r>
        <w:rPr>
          <w:rFonts w:cs="Tahoma"/>
          <w:b/>
          <w:sz w:val="24"/>
          <w:szCs w:val="24"/>
          <w:lang w:val="it-IT"/>
        </w:rPr>
        <w:t>e relativamente ai requisiti per partecipare alla presente procedura, DICHIARA:</w:t>
      </w:r>
    </w:p>
    <w:p>
      <w:pPr>
        <w:pStyle w:val="Sche3"/>
        <w:jc w:val="center"/>
        <w:rPr>
          <w:rFonts w:cs="Tahoma"/>
          <w:b/>
          <w:sz w:val="24"/>
          <w:szCs w:val="24"/>
          <w:lang w:val="it-IT"/>
        </w:rPr>
      </w:pPr>
      <w:r>
        <w:rPr>
          <w:rFonts w:cs="Tahoma"/>
          <w:b/>
          <w:sz w:val="24"/>
          <w:szCs w:val="24"/>
          <w:lang w:val="it-IT"/>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PARTE III DEL DGUE – Motivi di esclusione (Art. 80 del D. Lgs. 50/2016)</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 xml:space="preserve">- </w:t>
        <w:tab/>
        <w:t>Motivi legati a condanne penali:</w:t>
      </w:r>
    </w:p>
    <w:p>
      <w:pPr>
        <w:pStyle w:val="Normal"/>
        <w:widowControl w:val="false"/>
        <w:tabs>
          <w:tab w:val="left" w:pos="-31680" w:leader="none"/>
        </w:tabs>
        <w:jc w:val="both"/>
        <w:rPr>
          <w:sz w:val="24"/>
          <w:szCs w:val="24"/>
        </w:rPr>
      </w:pPr>
      <w:r>
        <w:rPr>
          <w:sz w:val="24"/>
          <w:szCs w:val="24"/>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1) I soggetti di cui all’art. 80, comma 3, del Codice</w:t>
      </w:r>
      <w:r>
        <w:rPr>
          <w:rStyle w:val="Richiamoallanotaapidipagina"/>
          <w:rFonts w:eastAsia="Tahoma" w:cs="Tahoma"/>
          <w:sz w:val="24"/>
          <w:szCs w:val="24"/>
        </w:rPr>
        <w:footnoteReference w:id="2"/>
      </w:r>
      <w:r>
        <w:rPr>
          <w:rFonts w:eastAsia="Tahoma" w:cs="Tahoma"/>
          <w:sz w:val="24"/>
          <w:szCs w:val="24"/>
        </w:rPr>
        <w:t xml:space="preserve">, </w:t>
      </w:r>
      <w:r>
        <w:rPr>
          <w:sz w:val="24"/>
          <w:szCs w:val="24"/>
          <w:vertAlign w:val="superscript"/>
        </w:rPr>
        <w:t xml:space="preserve"> </w:t>
      </w:r>
      <w:r>
        <w:rPr>
          <w:rFonts w:eastAsia="Tahoma" w:cs="Tahoma"/>
          <w:sz w:val="24"/>
          <w:szCs w:val="24"/>
        </w:rPr>
        <w:t>sono i seguenti (</w:t>
      </w:r>
      <w:r>
        <w:rPr>
          <w:rFonts w:eastAsia="Tahoma" w:cs="Tahoma"/>
          <w:i/>
          <w:sz w:val="24"/>
          <w:szCs w:val="24"/>
        </w:rPr>
        <w:t>indicare anche i soggetti cessati dalla carica nell’anno antecedente la data di pubblicazione del bando specificando la data cessazione e carica ricoperta fino alla cessazione</w:t>
      </w:r>
      <w:r>
        <w:rPr>
          <w:rFonts w:eastAsia="Tahoma" w:cs="Tahoma"/>
          <w:sz w:val="24"/>
          <w:szCs w:val="24"/>
        </w:rPr>
        <w:t>):</w:t>
      </w:r>
    </w:p>
    <w:p>
      <w:pPr>
        <w:pStyle w:val="Normal"/>
        <w:widowControl w:val="false"/>
        <w:tabs>
          <w:tab w:val="left" w:pos="1384" w:leader="none"/>
          <w:tab w:val="left" w:pos="1645" w:leader="none"/>
          <w:tab w:val="left" w:pos="2637" w:leader="none"/>
        </w:tabs>
        <w:spacing w:lineRule="auto" w:line="360"/>
        <w:ind w:left="1361" w:right="0" w:hanging="0"/>
        <w:jc w:val="both"/>
        <w:rPr/>
      </w:pPr>
      <w:r>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pPr>
      <w:r>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pPr>
      <w:r>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Tahoma"/>
          <w:sz w:val="24"/>
          <w:szCs w:val="24"/>
        </w:rPr>
      </w:pPr>
      <w:r>
        <w:rPr>
          <w:rFonts w:eastAsia="Tahoma" w:cs="Tahoma"/>
          <w:sz w:val="24"/>
          <w:szCs w:val="24"/>
        </w:rPr>
      </w:r>
    </w:p>
    <w:p>
      <w:pPr>
        <w:pStyle w:val="Normal"/>
        <w:widowControl w:val="false"/>
        <w:tabs>
          <w:tab w:val="left" w:pos="-31680" w:leader="none"/>
        </w:tabs>
        <w:jc w:val="both"/>
        <w:rPr>
          <w:i/>
          <w:iCs/>
          <w:sz w:val="24"/>
          <w:szCs w:val="24"/>
        </w:rPr>
      </w:pPr>
      <w:r>
        <w:rPr>
          <w:i/>
          <w:iCs/>
          <w:sz w:val="24"/>
          <w:szCs w:val="24"/>
        </w:rPr>
        <w:t>(Il concorrente può fornire i dati richiesti anche presentando un allegato a parte)</w:t>
      </w:r>
    </w:p>
    <w:p>
      <w:pPr>
        <w:pStyle w:val="Normal"/>
        <w:widowControl w:val="false"/>
        <w:tabs>
          <w:tab w:val="left" w:pos="-31680" w:leader="none"/>
        </w:tabs>
        <w:jc w:val="both"/>
        <w:rPr>
          <w:sz w:val="24"/>
          <w:szCs w:val="24"/>
        </w:rPr>
      </w:pPr>
      <w:r>
        <w:rPr>
          <w:sz w:val="24"/>
          <w:szCs w:val="24"/>
        </w:rPr>
      </w:r>
    </w:p>
    <w:p>
      <w:pPr>
        <w:pStyle w:val="Normal"/>
        <w:tabs>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2) I soggetti di cui all’art. 80, comma 3</w:t>
      </w:r>
      <w:r>
        <w:rPr>
          <w:sz w:val="24"/>
          <w:szCs w:val="24"/>
          <w:vertAlign w:val="superscript"/>
        </w:rPr>
        <w:t>2</w:t>
      </w:r>
      <w:r>
        <w:rPr>
          <w:rFonts w:eastAsia="Tahoma" w:cs="Tahoma"/>
          <w:sz w:val="24"/>
          <w:szCs w:val="24"/>
        </w:rPr>
        <w:t>, del Codice,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4"/>
          <w:szCs w:val="24"/>
        </w:rPr>
      </w:pPr>
      <w:r>
        <w:rPr>
          <w:rFonts w:eastAsia="Tahoma" w:cs="Tahoma"/>
          <w:sz w:val="24"/>
          <w:szCs w:val="24"/>
        </w:rPr>
      </w:r>
    </w:p>
    <w:p>
      <w:pPr>
        <w:pStyle w:val="Normal"/>
        <w:tabs>
          <w:tab w:val="left" w:pos="1588" w:leader="none"/>
          <w:tab w:val="left" w:pos="2580" w:leader="none"/>
        </w:tabs>
        <w:ind w:left="1304" w:right="0" w:hanging="0"/>
        <w:jc w:val="both"/>
        <w:rPr>
          <w:sz w:val="24"/>
          <w:szCs w:val="24"/>
        </w:rPr>
      </w:pPr>
      <w:r>
        <w:rPr>
          <w:rFonts w:eastAsia="Tahoma" w:cs="Tahoma"/>
          <w:sz w:val="24"/>
          <w:szCs w:val="24"/>
        </w:rPr>
        <w:t xml:space="preserve">- False comunicazioni sociali di cui agli articoli 2621 e 2622 del codice civile (Art. 80, comma 1, let. b-bis) del Codice:   </w:t>
      </w:r>
      <w:r>
        <w:rPr>
          <w:sz w:val="24"/>
          <w:szCs w:val="24"/>
        </w:rPr>
        <w:t xml:space="preserve">      SI                NO</w:t>
      </w:r>
    </w:p>
    <w:p>
      <w:pPr>
        <w:pStyle w:val="Normal"/>
        <w:tabs>
          <w:tab w:val="left" w:pos="1588" w:leader="none"/>
          <w:tab w:val="left" w:pos="2580" w:leader="none"/>
        </w:tabs>
        <w:ind w:left="1304" w:right="0" w:hanging="0"/>
        <w:jc w:val="both"/>
        <w:rPr>
          <w:sz w:val="24"/>
          <w:szCs w:val="24"/>
        </w:rPr>
      </w:pPr>
      <w:r>
        <w:rPr>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Tahoma"/>
          <w:sz w:val="24"/>
          <w:szCs w:val="24"/>
        </w:rPr>
      </w:pPr>
      <w:r>
        <w:rPr>
          <w:rFonts w:eastAsia="Tahoma" w:cs="Tahoma"/>
          <w:sz w:val="24"/>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 xml:space="preserve"> </w:t>
      </w:r>
      <w:r>
        <w:rPr>
          <w:rFonts w:eastAsia="Tahoma" w:cs="Tahoma"/>
          <w:sz w:val="24"/>
          <w:szCs w:val="24"/>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tabs>
          <w:tab w:val="left" w:pos="-14476" w:leader="none"/>
          <w:tab w:val="left" w:pos="-13484" w:leader="none"/>
        </w:tabs>
        <w:spacing w:lineRule="auto" w:line="360"/>
        <w:ind w:left="1664" w:right="0" w:hanging="0"/>
        <w:jc w:val="both"/>
        <w:rPr>
          <w:rFonts w:eastAsia="Tahoma" w:cs="Tahoma"/>
          <w:sz w:val="24"/>
          <w:szCs w:val="24"/>
        </w:rPr>
      </w:pPr>
      <w:r>
        <w:rPr>
          <w:rFonts w:eastAsia="Tahoma" w:cs="Tahoma"/>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tabs>
          <w:tab w:val="left" w:pos="1645" w:leader="none"/>
          <w:tab w:val="left" w:pos="2637" w:leader="none"/>
        </w:tabs>
        <w:spacing w:lineRule="auto" w:line="360"/>
        <w:ind w:left="1361" w:right="0" w:hanging="227"/>
        <w:jc w:val="both"/>
        <w:rPr>
          <w:rFonts w:eastAsia="Tahoma" w:cs="Calibri Light"/>
          <w:sz w:val="24"/>
          <w:szCs w:val="24"/>
        </w:rPr>
      </w:pPr>
      <w:r>
        <w:rPr>
          <w:rFonts w:eastAsia="Tahoma" w:cs="Calibri Light"/>
          <w:sz w:val="24"/>
          <w:szCs w:val="24"/>
        </w:rPr>
        <w:t>3) I soggetti di cui all’art. 80, comma 3</w:t>
      </w:r>
      <w:r>
        <w:rPr>
          <w:rStyle w:val="Richiamoallanotaapidipagina"/>
          <w:rFonts w:eastAsia="Tahoma" w:cs="Calibri Light"/>
          <w:sz w:val="24"/>
          <w:szCs w:val="24"/>
        </w:rPr>
        <w:footnoteReference w:id="3"/>
      </w:r>
      <w:r>
        <w:rPr>
          <w:rFonts w:eastAsia="Tahoma" w:cs="Calibri Light"/>
          <w:sz w:val="24"/>
          <w:szCs w:val="24"/>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widowControl w:val="false"/>
        <w:tabs>
          <w:tab w:val="left" w:pos="1588" w:leader="none"/>
          <w:tab w:val="left" w:pos="2580" w:leader="none"/>
        </w:tabs>
        <w:spacing w:lineRule="auto" w:line="360"/>
        <w:ind w:left="1304" w:right="0" w:hanging="0"/>
        <w:jc w:val="both"/>
        <w:rPr>
          <w:rFonts w:cs="Calibri Light"/>
          <w:sz w:val="24"/>
          <w:szCs w:val="24"/>
        </w:rPr>
      </w:pPr>
      <w:r>
        <w:rPr>
          <w:rFonts w:cs="Calibri Light"/>
          <w:sz w:val="24"/>
          <w:szCs w:val="24"/>
        </w:rPr>
        <w:t>- Ogni altro delitto da cui derivi, quale pena accessoria, l’incapacità di contrattare con la pubblica amministrazione (Art. 80, comma 1, lett. g) del Codice:</w:t>
      </w:r>
      <w:r>
        <w:rPr>
          <w:rFonts w:eastAsia="Tahoma" w:cs="Tahoma"/>
          <w:sz w:val="24"/>
          <w:szCs w:val="24"/>
        </w:rPr>
        <w:t xml:space="preserve">   </w:t>
      </w:r>
      <w:r>
        <w:rPr>
          <w:rFonts w:cs="Calibri Light"/>
          <w:sz w:val="24"/>
          <w:szCs w:val="24"/>
        </w:rPr>
        <w:t xml:space="preserve">      SI                NO</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4"/>
          <w:szCs w:val="24"/>
        </w:rPr>
      </w:pPr>
      <w:r>
        <w:rPr>
          <w:rFonts w:eastAsia="Tahoma" w:cs="Calibri Light"/>
          <w:sz w:val="24"/>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la data della condanna, del decreto penale di condanna o della sentenza di applicazione della pena su richiesta, la relativa durata e il reato commesso: </w:t>
      </w:r>
      <w:bookmarkStart w:id="15" w:name="_Hlk529259444"/>
      <w:r>
        <w:rPr>
          <w:rFonts w:eastAsia="Tahoma" w:cs="Calibri Light"/>
          <w:sz w:val="24"/>
          <w:szCs w:val="24"/>
        </w:rPr>
        <w:t>______________ _________________________________________________________________________</w:t>
      </w:r>
      <w:bookmarkEnd w:id="15"/>
      <w:r>
        <w:rPr>
          <w:rFonts w:eastAsia="Tahoma" w:cs="Calibri Light"/>
          <w:sz w:val="24"/>
          <w:szCs w:val="24"/>
        </w:rPr>
        <w:t>;</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i dati identificativi delle persone condannate: </w:t>
      </w:r>
      <w:bookmarkStart w:id="16" w:name="_Hlk529259454"/>
      <w:r>
        <w:rPr>
          <w:rFonts w:eastAsia="Tahoma" w:cs="Calibri Light"/>
          <w:sz w:val="24"/>
          <w:szCs w:val="24"/>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16"/>
      <w:r>
        <w:rPr>
          <w:rFonts w:eastAsia="Tahoma" w:cs="Calibri Light"/>
          <w:sz w:val="24"/>
          <w:szCs w:val="24"/>
        </w:rPr>
        <w:t>;</w:t>
      </w:r>
    </w:p>
    <w:p>
      <w:pPr>
        <w:pStyle w:val="ListParagraph"/>
        <w:rPr>
          <w:rFonts w:eastAsia="Tahoma" w:cs="Calibri Light"/>
          <w:sz w:val="24"/>
          <w:szCs w:val="24"/>
        </w:rPr>
      </w:pPr>
      <w:r>
        <w:rPr>
          <w:rFonts w:eastAsia="Tahoma" w:cs="Calibri Light"/>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se stabilita direttamente nella sentenza di condanna, la durata della pena accessoria: durata del periodo di esclusione </w:t>
      </w:r>
      <w:bookmarkStart w:id="17" w:name="_Hlk529259518"/>
      <w:r>
        <w:rPr>
          <w:rFonts w:eastAsia="Tahoma" w:cs="Calibri Light"/>
          <w:sz w:val="24"/>
          <w:szCs w:val="24"/>
        </w:rPr>
        <w:t>_______________________________________________</w:t>
      </w:r>
      <w:bookmarkEnd w:id="17"/>
      <w:r>
        <w:rPr>
          <w:rFonts w:eastAsia="Tahoma" w:cs="Calibri Light"/>
          <w:sz w:val="24"/>
          <w:szCs w:val="24"/>
        </w:rPr>
        <w:t>;</w:t>
      </w:r>
    </w:p>
    <w:p>
      <w:pPr>
        <w:pStyle w:val="Normal"/>
        <w:widowControl w:val="false"/>
        <w:tabs>
          <w:tab w:val="left" w:pos="-31226" w:leader="none"/>
        </w:tabs>
        <w:spacing w:lineRule="auto" w:line="360"/>
        <w:ind w:left="454" w:right="0" w:hanging="0"/>
        <w:jc w:val="both"/>
        <w:rPr>
          <w:rFonts w:eastAsia="Tahoma" w:cs="Calibri Light"/>
          <w:sz w:val="24"/>
          <w:szCs w:val="24"/>
        </w:rPr>
      </w:pPr>
      <w:r>
        <w:rPr>
          <w:rFonts w:eastAsia="Tahoma" w:cs="Calibri Light"/>
          <w:sz w:val="24"/>
          <w:szCs w:val="24"/>
        </w:rPr>
      </w:r>
    </w:p>
    <w:p>
      <w:pPr>
        <w:pStyle w:val="Normal"/>
        <w:tabs>
          <w:tab w:val="left" w:pos="1645" w:leader="none"/>
          <w:tab w:val="left" w:pos="2637" w:leader="none"/>
        </w:tabs>
        <w:spacing w:lineRule="auto" w:line="360"/>
        <w:ind w:left="1361" w:right="0" w:hanging="227"/>
        <w:jc w:val="left"/>
        <w:rPr>
          <w:rFonts w:eastAsia="Tahoma" w:cs="Tahoma"/>
          <w:sz w:val="24"/>
          <w:szCs w:val="24"/>
        </w:rPr>
      </w:pPr>
      <w:r>
        <w:rPr>
          <w:rFonts w:eastAsia="Tahoma" w:cs="Tahoma"/>
          <w:sz w:val="24"/>
          <w:szCs w:val="24"/>
        </w:rPr>
      </w:r>
    </w:p>
    <w:p>
      <w:pPr>
        <w:pStyle w:val="Normal"/>
        <w:widowControl w:val="false"/>
        <w:tabs>
          <w:tab w:val="left" w:pos="-31226" w:leader="none"/>
        </w:tabs>
        <w:ind w:left="454" w:right="0" w:hanging="0"/>
        <w:jc w:val="both"/>
        <w:rPr>
          <w:rFonts w:eastAsia="Tahoma" w:cs="Calibri Light"/>
          <w:b w:val="false"/>
          <w:bCs w:val="false"/>
          <w:sz w:val="24"/>
          <w:szCs w:val="24"/>
        </w:rPr>
      </w:pPr>
      <w:r>
        <w:rPr>
          <w:rFonts w:eastAsia="Tahoma" w:cs="Calibri Light"/>
          <w:b/>
          <w:sz w:val="24"/>
          <w:szCs w:val="24"/>
        </w:rPr>
        <w:t xml:space="preserve">- Motivi di esclusione previsti esclusivamente dalla legislazione nazionale </w:t>
      </w:r>
      <w:r>
        <w:rPr>
          <w:rFonts w:eastAsia="Tahoma" w:cs="Calibri Light"/>
          <w:b w:val="false"/>
          <w:bCs w:val="false"/>
          <w:sz w:val="24"/>
          <w:szCs w:val="24"/>
        </w:rPr>
        <w:t>(art. 80 comma 2 e comma 5, lett. c), c-bis), c-ter), f), f-bis), f-ter), g), h), i), l), m) del D. Lgs. 50/2016):</w:t>
      </w:r>
    </w:p>
    <w:p>
      <w:pPr>
        <w:pStyle w:val="Normal"/>
        <w:widowControl w:val="false"/>
        <w:tabs>
          <w:tab w:val="left" w:pos="-31680" w:leader="none"/>
        </w:tabs>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cs="Calibri Light"/>
          <w:sz w:val="24"/>
          <w:szCs w:val="24"/>
        </w:rPr>
      </w:pPr>
      <w:r>
        <w:rPr>
          <w:rFonts w:eastAsia="Tahoma" w:cs="Calibri Light"/>
          <w:sz w:val="24"/>
          <w:szCs w:val="24"/>
        </w:rPr>
        <w:t xml:space="preserve"> </w:t>
      </w:r>
      <w:r>
        <w:rPr>
          <w:rFonts w:eastAsia="Tahoma" w:cs="Calibri Light"/>
          <w:sz w:val="24"/>
          <w:szCs w:val="24"/>
        </w:rPr>
        <w:t>Sussistono a carico dei soggetti indicati al comma 3</w:t>
      </w:r>
      <w:r>
        <w:rPr>
          <w:rFonts w:eastAsia="Tahoma" w:cs="Calibri Light"/>
          <w:sz w:val="24"/>
          <w:szCs w:val="24"/>
          <w:vertAlign w:val="superscript"/>
        </w:rPr>
        <w:t>4</w:t>
      </w:r>
      <w:r>
        <w:rPr>
          <w:rFonts w:eastAsia="Tahoma" w:cs="Calibri Light"/>
          <w:sz w:val="24"/>
          <w:szCs w:val="24"/>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r>
        <w:rPr>
          <w:rFonts w:eastAsia="Tahoma" w:cs="Tahoma"/>
          <w:sz w:val="24"/>
          <w:szCs w:val="24"/>
        </w:rPr>
        <w:t xml:space="preserve">   </w:t>
      </w:r>
      <w:r>
        <w:rPr>
          <w:rFonts w:cs="Calibri Light"/>
          <w:sz w:val="24"/>
          <w:szCs w:val="24"/>
        </w:rPr>
        <w:t xml:space="preserve">      SI                NO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cs="Calibri Light"/>
          <w:sz w:val="24"/>
          <w:szCs w:val="24"/>
        </w:rPr>
      </w:pPr>
      <w:r>
        <w:rPr>
          <w:rFonts w:cs="Calibri Light"/>
        </w:rPr>
        <w:t xml:space="preserve">L’operatore economico si è reso colpevole di gravi illeciti professionali, tali da rendere dubbia la sua integrità o affidabilità </w:t>
      </w:r>
      <w:r>
        <w:rPr>
          <w:rFonts w:eastAsia="Tahoma" w:cs="Calibri Light"/>
          <w:szCs w:val="24"/>
        </w:rPr>
        <w:t>(Art. 80, comma 5, lett. c)</w:t>
      </w:r>
      <w:r>
        <w:rPr>
          <w:rFonts w:cs="Calibri Light"/>
        </w:rPr>
        <w:t xml:space="preserve">? </w:t>
      </w:r>
      <w:r>
        <w:rPr>
          <w:rFonts w:eastAsia="Tahoma" w:cs="Tahoma"/>
          <w:sz w:val="24"/>
          <w:szCs w:val="24"/>
        </w:rPr>
        <w:t xml:space="preserve">   </w:t>
      </w:r>
      <w:r>
        <w:rPr>
          <w:rFonts w:cs="Calibri Light"/>
          <w:sz w:val="24"/>
          <w:szCs w:val="24"/>
        </w:rPr>
        <w:t xml:space="preserve">     SI                NO</w:t>
      </w:r>
    </w:p>
    <w:p>
      <w:pPr>
        <w:pStyle w:val="Normal"/>
        <w:tabs>
          <w:tab w:val="left" w:pos="1588" w:leader="none"/>
          <w:tab w:val="left" w:pos="2580" w:leader="none"/>
        </w:tabs>
        <w:ind w:left="1304" w:right="0" w:hanging="0"/>
        <w:jc w:val="both"/>
        <w:rPr>
          <w:rFonts w:cs="Calibri Light"/>
        </w:rPr>
      </w:pPr>
      <w:r>
        <w:rPr>
          <w:rFonts w:cs="Calibri Light"/>
        </w:rPr>
      </w:r>
    </w:p>
    <w:p>
      <w:pPr>
        <w:pStyle w:val="Normal"/>
        <w:tabs>
          <w:tab w:val="left" w:pos="1588" w:leader="none"/>
          <w:tab w:val="left" w:pos="2580" w:leader="none"/>
        </w:tabs>
        <w:ind w:left="1304" w:right="0" w:hanging="0"/>
        <w:jc w:val="both"/>
        <w:rPr>
          <w:rFonts w:cs="Calibri Light"/>
        </w:rPr>
      </w:pPr>
      <w:r>
        <w:rPr>
          <w:rFonts w:cs="Calibri Light"/>
        </w:rPr>
      </w:r>
    </w:p>
    <w:p>
      <w:pPr>
        <w:pStyle w:val="Normal"/>
        <w:numPr>
          <w:ilvl w:val="0"/>
          <w:numId w:val="1"/>
        </w:numPr>
        <w:tabs>
          <w:tab w:val="left" w:pos="1588" w:leader="none"/>
          <w:tab w:val="left" w:pos="2580" w:leader="none"/>
        </w:tabs>
        <w:ind w:left="1304" w:right="0" w:hanging="360"/>
        <w:jc w:val="both"/>
        <w:rPr>
          <w:rFonts w:cs="Calibri Light"/>
          <w:sz w:val="24"/>
          <w:szCs w:val="24"/>
        </w:rPr>
      </w:pPr>
      <w:r>
        <w:rPr>
          <w:rFonts w:cs="Calibri Light"/>
        </w:rPr>
        <w:t xml:space="preserve"> </w:t>
      </w:r>
      <w:r>
        <w:rPr>
          <w:rFonts w:cs="Calibri Light"/>
        </w:rPr>
        <w:t xml:space="preserve">L’operatore economico </w:t>
      </w:r>
      <w:r>
        <w:rPr>
          <w:rFonts w:cs="Calibri Light"/>
          <w:bCs/>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rPr>
        <w:t xml:space="preserve"> </w:t>
      </w:r>
      <w:r>
        <w:rPr>
          <w:rFonts w:eastAsia="Tahoma" w:cs="Calibri Light"/>
          <w:szCs w:val="24"/>
        </w:rPr>
        <w:t>(Art. 80, comma 5, lett. c-bis)</w:t>
      </w:r>
      <w:r>
        <w:rPr>
          <w:rFonts w:cs="Calibri Light"/>
        </w:rPr>
        <w:t xml:space="preserve">? </w:t>
      </w:r>
      <w:r>
        <w:rPr>
          <w:rFonts w:eastAsia="Tahoma" w:cs="Tahoma"/>
          <w:sz w:val="24"/>
          <w:szCs w:val="24"/>
        </w:rPr>
        <w:t xml:space="preserve">   </w:t>
      </w:r>
      <w:r>
        <w:rPr>
          <w:rFonts w:cs="Calibri Light"/>
          <w:sz w:val="24"/>
          <w:szCs w:val="24"/>
        </w:rPr>
        <w:t xml:space="preserve">      SI                NO</w:t>
      </w:r>
    </w:p>
    <w:p>
      <w:pPr>
        <w:pStyle w:val="Normal"/>
        <w:tabs>
          <w:tab w:val="left" w:pos="1588" w:leader="none"/>
          <w:tab w:val="left" w:pos="2580" w:leader="none"/>
        </w:tabs>
        <w:ind w:left="1276" w:right="0" w:hanging="0"/>
        <w:jc w:val="both"/>
        <w:rPr>
          <w:rFonts w:cs="Calibri Light"/>
        </w:rPr>
      </w:pPr>
      <w:r>
        <w:rPr>
          <w:rFonts w:cs="Calibri Light"/>
        </w:rPr>
      </w:r>
    </w:p>
    <w:p>
      <w:pPr>
        <w:pStyle w:val="Normal"/>
        <w:tabs>
          <w:tab w:val="left" w:pos="1588" w:leader="none"/>
          <w:tab w:val="left" w:pos="2580" w:leader="none"/>
        </w:tabs>
        <w:ind w:left="1304" w:right="0" w:hanging="0"/>
        <w:jc w:val="both"/>
        <w:rPr>
          <w:rFonts w:cs="Calibri Light"/>
        </w:rPr>
      </w:pPr>
      <w:r>
        <w:rPr>
          <w:rFonts w:cs="Calibri Light"/>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cs="Calibri Light"/>
        </w:rPr>
        <w:t xml:space="preserve"> </w:t>
      </w:r>
      <w:r>
        <w:rPr>
          <w:rFonts w:cs="Calibri Light"/>
        </w:rPr>
        <w:t xml:space="preserve">L’operatore economico </w:t>
      </w:r>
      <w:r>
        <w:rPr>
          <w:rFonts w:cs="Calibri Light"/>
          <w:bCs/>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rPr>
        <w:t xml:space="preserve"> </w:t>
      </w:r>
      <w:r>
        <w:rPr>
          <w:rFonts w:eastAsia="Tahoma" w:cs="Calibri Light"/>
          <w:szCs w:val="24"/>
        </w:rPr>
        <w:t>(Art. 80, comma 5, lett. c-ter)</w:t>
      </w:r>
      <w:r>
        <w:rPr>
          <w:rFonts w:cs="Calibri Light"/>
        </w:rPr>
        <w:t xml:space="preserve">? </w:t>
      </w:r>
      <w:r>
        <w:rPr>
          <w:rFonts w:eastAsia="Tahoma" w:cs="Tahoma"/>
          <w:sz w:val="24"/>
          <w:szCs w:val="24"/>
        </w:rPr>
        <w:t xml:space="preserve">   </w:t>
      </w:r>
      <w:r>
        <w:rPr>
          <w:rFonts w:eastAsia="Tahoma" w:cs="Calibri Light"/>
          <w:sz w:val="24"/>
          <w:szCs w:val="24"/>
        </w:rPr>
        <w:t xml:space="preserve">      SI                NO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color w:val="00000A"/>
          <w:sz w:val="24"/>
          <w:szCs w:val="24"/>
          <w:u w:val="none"/>
        </w:rPr>
        <w:t>articolo 9, comma 2, lettera c) del decreto legislativo 8 giugno 2001, n. 231</w:t>
      </w:r>
      <w:r>
        <w:fldChar w:fldCharType="end"/>
      </w:r>
      <w:r>
        <w:rPr>
          <w:rFonts w:eastAsia="Tahoma" w:cs="Calibri Light"/>
          <w:sz w:val="24"/>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color w:val="00000A"/>
          <w:sz w:val="24"/>
          <w:szCs w:val="24"/>
          <w:u w:val="none"/>
        </w:rPr>
        <w:t>articolo 14 del decreto legislativo 9 aprile 2008, n. 81</w:t>
      </w:r>
      <w:r>
        <w:fldChar w:fldCharType="end"/>
      </w:r>
      <w:r>
        <w:rPr>
          <w:rFonts w:eastAsia="Tahoma" w:cs="Calibri Light"/>
          <w:sz w:val="24"/>
          <w:szCs w:val="24"/>
        </w:rPr>
        <w:t xml:space="preserve"> (Art. 80, comma 5, lettera f)?:</w:t>
      </w:r>
    </w:p>
    <w:p>
      <w:pPr>
        <w:pStyle w:val="Normal"/>
        <w:tabs>
          <w:tab w:val="left" w:pos="1588" w:leader="none"/>
          <w:tab w:val="left" w:pos="2580" w:leader="none"/>
        </w:tabs>
        <w:ind w:left="1664" w:right="0" w:hanging="0"/>
        <w:jc w:val="both"/>
        <w:rPr>
          <w:rFonts w:cs="Calibri Light"/>
          <w:sz w:val="24"/>
          <w:szCs w:val="24"/>
        </w:rPr>
      </w:pPr>
      <w:r>
        <w:rPr>
          <w:rFonts w:cs="Calibri Light"/>
          <w:sz w:val="24"/>
          <w:szCs w:val="24"/>
        </w:rPr>
        <w:t xml:space="preserve">   </w:t>
      </w:r>
      <w:r>
        <w:rPr>
          <w:rFonts w:cs="Calibri Light"/>
          <w:sz w:val="24"/>
          <w:szCs w:val="24"/>
        </w:rPr>
        <w:t>SI                NO</w:t>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numPr>
          <w:ilvl w:val="0"/>
          <w:numId w:val="1"/>
        </w:numPr>
        <w:tabs>
          <w:tab w:val="left" w:pos="1588" w:leader="none"/>
          <w:tab w:val="left" w:pos="2580" w:leader="none"/>
        </w:tabs>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Ha presentato nella procedura di gara in corso o negli affidamenti di subappalti documentazione o dichiarazioni non veritiere (Art. 80, comma 5, lettera f-bis)?:</w:t>
      </w:r>
    </w:p>
    <w:p>
      <w:pPr>
        <w:pStyle w:val="Normal"/>
        <w:tabs>
          <w:tab w:val="left" w:pos="1588" w:leader="none"/>
          <w:tab w:val="left" w:pos="2580" w:leader="none"/>
        </w:tabs>
        <w:ind w:left="1304" w:right="0" w:hanging="0"/>
        <w:jc w:val="both"/>
        <w:rPr>
          <w:rFonts w:cs="Calibri Light"/>
          <w:sz w:val="24"/>
          <w:szCs w:val="24"/>
        </w:rPr>
      </w:pPr>
      <w:bookmarkStart w:id="18" w:name="__DdeLink__119733_531846676"/>
      <w:r>
        <w:rPr>
          <w:rFonts w:cs="Calibri Light"/>
          <w:sz w:val="24"/>
          <w:szCs w:val="24"/>
        </w:rPr>
        <w:t xml:space="preserve">   </w:t>
      </w:r>
      <w:bookmarkEnd w:id="18"/>
      <w:r>
        <w:rPr>
          <w:rFonts w:cs="Calibri Light"/>
          <w:sz w:val="24"/>
          <w:szCs w:val="24"/>
        </w:rPr>
        <w:t>SI                NO</w:t>
      </w:r>
    </w:p>
    <w:p>
      <w:pPr>
        <w:pStyle w:val="Normal"/>
        <w:widowControl w:val="false"/>
        <w:tabs>
          <w:tab w:val="left" w:pos="-14930" w:leader="none"/>
          <w:tab w:val="left" w:pos="-13938" w:leader="none"/>
        </w:tabs>
        <w:ind w:left="850" w:right="0" w:hanging="0"/>
        <w:jc w:val="both"/>
        <w:rPr>
          <w:rFonts w:cs="Calibri Light"/>
          <w:sz w:val="24"/>
          <w:szCs w:val="24"/>
        </w:rPr>
      </w:pPr>
      <w:r>
        <w:rPr>
          <w:rFonts w:cs="Calibri Light"/>
          <w:sz w:val="24"/>
          <w:szCs w:val="24"/>
        </w:rPr>
      </w:r>
    </w:p>
    <w:p>
      <w:pPr>
        <w:pStyle w:val="Normal"/>
        <w:widowControl w:val="false"/>
        <w:tabs>
          <w:tab w:val="left" w:pos="-14930" w:leader="none"/>
          <w:tab w:val="left" w:pos="-13938" w:leader="none"/>
        </w:tabs>
        <w:ind w:left="850"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pPr>
        <w:pStyle w:val="Normal"/>
        <w:widowControl w:val="false"/>
        <w:tabs>
          <w:tab w:val="left" w:pos="-14476" w:leader="none"/>
          <w:tab w:val="left" w:pos="-13484" w:leader="none"/>
        </w:tabs>
        <w:spacing w:lineRule="auto" w:line="276"/>
        <w:ind w:left="1664" w:right="0" w:hanging="0"/>
        <w:jc w:val="both"/>
        <w:rPr>
          <w:rFonts w:eastAsia="Tahoma" w:cs="Calibri Light"/>
          <w:sz w:val="24"/>
          <w:szCs w:val="24"/>
        </w:rPr>
      </w:pPr>
      <w:r>
        <w:rPr>
          <w:rFonts w:eastAsia="Tahoma" w:cs="Calibri Light"/>
          <w:sz w:val="24"/>
          <w:szCs w:val="24"/>
        </w:rPr>
        <w:t xml:space="preserve">   </w:t>
      </w:r>
      <w:r>
        <w:rPr>
          <w:rFonts w:eastAsia="Tahoma" w:cs="Calibri Light"/>
          <w:sz w:val="24"/>
          <w:szCs w:val="24"/>
        </w:rPr>
        <w:t>SI                NO</w:t>
      </w:r>
    </w:p>
    <w:p>
      <w:pPr>
        <w:pStyle w:val="Normal"/>
        <w:widowControl w:val="false"/>
        <w:tabs>
          <w:tab w:val="left" w:pos="-14476" w:leader="none"/>
          <w:tab w:val="left" w:pos="-13484" w:leader="none"/>
        </w:tabs>
        <w:spacing w:lineRule="auto" w:line="276"/>
        <w:ind w:left="166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spacing w:lineRule="auto" w:line="276"/>
        <w:ind w:left="166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1304" w:right="0" w:hanging="360"/>
        <w:jc w:val="both"/>
        <w:textAlignment w:val="baseline"/>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r>
        <w:rPr>
          <w:rFonts w:eastAsia="Tahoma" w:cs="Tahoma"/>
          <w:sz w:val="24"/>
          <w:szCs w:val="24"/>
        </w:rPr>
        <w:t xml:space="preserve">      SI                NO</w:t>
      </w:r>
      <w:r>
        <w:rPr>
          <w:rFonts w:eastAsia="Tahoma" w:cs="Calibri Light"/>
          <w:sz w:val="24"/>
          <w:szCs w:val="24"/>
        </w:rPr>
        <w:t xml:space="preserve">        In caso di risposta affermativa indicare il periodo per il quale perdura l’iscrizione </w:t>
      </w:r>
      <w:bookmarkStart w:id="19" w:name="_Hlk529259626"/>
      <w:r>
        <w:rPr>
          <w:rFonts w:eastAsia="Tahoma" w:cs="Calibri Light"/>
          <w:sz w:val="24"/>
          <w:szCs w:val="24"/>
        </w:rPr>
        <w:t>_________________________________________</w:t>
      </w:r>
      <w:bookmarkEnd w:id="19"/>
      <w:r>
        <w:rPr>
          <w:rFonts w:eastAsia="Tahoma" w:cs="Calibri Light"/>
          <w:sz w:val="24"/>
          <w:szCs w:val="24"/>
        </w:rPr>
        <w:t>;</w:t>
      </w:r>
    </w:p>
    <w:p>
      <w:pPr>
        <w:pStyle w:val="Normal"/>
        <w:widowControl w:val="false"/>
        <w:tabs>
          <w:tab w:val="left" w:pos="-14476" w:leader="none"/>
          <w:tab w:val="left" w:pos="-13484" w:leader="none"/>
        </w:tabs>
        <w:spacing w:lineRule="auto" w:line="276"/>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spacing w:lineRule="auto" w:line="276"/>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1304" w:right="0" w:hanging="360"/>
        <w:jc w:val="both"/>
        <w:textAlignment w:val="baseline"/>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color w:val="000000"/>
          <w:sz w:val="24"/>
          <w:szCs w:val="24"/>
        </w:rPr>
        <w:t>articolo 17 della legge 19 marzo 1990, n. 55</w:t>
      </w:r>
      <w:r>
        <w:fldChar w:fldCharType="end"/>
      </w:r>
      <w:r>
        <w:rPr>
          <w:rFonts w:eastAsia="Tahoma" w:cs="Calibri Light"/>
          <w:sz w:val="24"/>
          <w:szCs w:val="24"/>
        </w:rPr>
        <w:t>. (Art. 80, comma 5, lettera h)?</w:t>
      </w:r>
      <w:r>
        <w:rPr>
          <w:rFonts w:eastAsia="Tahoma" w:cs="Tahoma"/>
          <w:sz w:val="24"/>
          <w:szCs w:val="24"/>
        </w:rPr>
        <w:t xml:space="preserve">          SI                NO   </w:t>
      </w:r>
      <w:r>
        <w:rPr>
          <w:rFonts w:eastAsia="Tahoma" w:cs="Calibri Light"/>
          <w:sz w:val="24"/>
          <w:szCs w:val="24"/>
        </w:rPr>
        <w:t xml:space="preserve">  </w:t>
      </w:r>
    </w:p>
    <w:p>
      <w:pPr>
        <w:pStyle w:val="Normal"/>
        <w:widowControl w:val="false"/>
        <w:tabs>
          <w:tab w:val="left" w:pos="-14476" w:leader="none"/>
          <w:tab w:val="left" w:pos="-13484" w:leader="none"/>
        </w:tabs>
        <w:ind w:left="1304" w:right="0" w:hanging="0"/>
        <w:jc w:val="both"/>
        <w:rPr>
          <w:rFonts w:eastAsia="Tahoma" w:cs="Calibri Light"/>
          <w:sz w:val="24"/>
          <w:szCs w:val="24"/>
        </w:rPr>
      </w:pPr>
      <w:r>
        <w:rPr>
          <w:rFonts w:cs="Calibri Light"/>
          <w:sz w:val="24"/>
          <w:szCs w:val="24"/>
        </w:rPr>
        <w:t>In caso di risposta affermativa indicare la data di accertamento  _____________________  e se la sanzione è stata rimossa:</w:t>
      </w:r>
      <w:r>
        <w:rPr>
          <w:rFonts w:eastAsia="Tahoma" w:cs="Tahoma"/>
          <w:sz w:val="24"/>
          <w:szCs w:val="24"/>
        </w:rPr>
        <w:t xml:space="preserve">   </w:t>
      </w:r>
      <w:r>
        <w:rPr>
          <w:rFonts w:eastAsia="Tahoma" w:cs="Calibri Light"/>
          <w:sz w:val="24"/>
          <w:szCs w:val="24"/>
        </w:rPr>
        <w:t xml:space="preserve">      SI                NO     </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si</w:t>
      </w:r>
      <w:r>
        <w:rPr>
          <w:rFonts w:eastAsia="Tahoma" w:cs="Calibri Light"/>
          <w:color w:val="000000"/>
          <w:sz w:val="24"/>
          <w:szCs w:val="24"/>
        </w:rPr>
        <w:t xml:space="preserve"> trova in regola con le norme che disciplinano il diritto al lavoro dei disabili di cui alla legge 12 marzo 1999 n. 68?</w:t>
      </w:r>
      <w:r>
        <w:rPr>
          <w:rFonts w:eastAsia="Tahoma" w:cs="Calibri Light"/>
          <w:sz w:val="24"/>
          <w:szCs w:val="24"/>
        </w:rPr>
        <w:t xml:space="preserve"> (Art. 80, comma 5, lettera i)?    </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Tahoma"/>
          <w:sz w:val="24"/>
          <w:szCs w:val="24"/>
        </w:rPr>
        <w:t xml:space="preserve">   </w:t>
      </w:r>
      <w:r>
        <w:rPr>
          <w:rFonts w:eastAsia="Tahoma" w:cs="Calibri Light"/>
          <w:sz w:val="24"/>
          <w:szCs w:val="24"/>
        </w:rPr>
        <w:t xml:space="preserve">    </w:t>
      </w:r>
      <w:r>
        <w:rPr>
          <w:rFonts w:eastAsia="Tahoma" w:cs="Calibri Light"/>
          <w:sz w:val="24"/>
          <w:szCs w:val="24"/>
        </w:rPr>
        <w:t xml:space="preserve">SI                NO         </w:t>
      </w:r>
      <w:r>
        <w:rPr>
          <w:rFonts w:eastAsia="Tahoma" w:cs="Tahoma"/>
          <w:sz w:val="24"/>
          <w:szCs w:val="24"/>
        </w:rPr>
        <w:t xml:space="preserve">  </w:t>
      </w:r>
      <w:r>
        <w:rPr>
          <w:rFonts w:eastAsia="Tahoma" w:cs="Calibri Light"/>
          <w:sz w:val="24"/>
          <w:szCs w:val="24"/>
        </w:rPr>
        <w:t xml:space="preserve">  </w:t>
      </w:r>
      <w:r>
        <w:rPr>
          <w:rFonts w:eastAsia="Tahoma" w:cs="Tahoma"/>
          <w:sz w:val="24"/>
          <w:szCs w:val="24"/>
        </w:rPr>
        <w:t xml:space="preserve"> </w:t>
      </w:r>
      <w:r>
        <w:rPr>
          <w:rFonts w:eastAsia="Tahoma" w:cs="Calibri Light"/>
          <w:sz w:val="24"/>
          <w:szCs w:val="24"/>
        </w:rPr>
        <w:t xml:space="preserve">    Non soggetto alla disciplina di cui alla L. 68/99 </w:t>
      </w:r>
      <w:bookmarkStart w:id="20" w:name="_Hlk529259688"/>
      <w:bookmarkEnd w:id="20"/>
      <w:r>
        <w:rPr>
          <w:rFonts w:eastAsia="Tahoma" w:cs="Calibri Light"/>
          <w:sz w:val="24"/>
          <w:szCs w:val="24"/>
        </w:rPr>
        <w:t>in quanto _______________________________________________;</w:t>
      </w:r>
    </w:p>
    <w:p>
      <w:pPr>
        <w:pStyle w:val="Normal"/>
        <w:widowControl w:val="false"/>
        <w:tabs>
          <w:tab w:val="left" w:pos="-15780" w:leader="none"/>
          <w:tab w:val="left" w:pos="-14788" w:leader="none"/>
        </w:tabs>
        <w:spacing w:lineRule="auto" w:line="276"/>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1361" w:right="0" w:hanging="360"/>
        <w:jc w:val="both"/>
        <w:textAlignment w:val="baseline"/>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4"/>
          <w:szCs w:val="24"/>
          <w:u w:val="none"/>
        </w:rPr>
        <w:t>articoli 317</w:t>
      </w:r>
      <w:r>
        <w:fldChar w:fldCharType="end"/>
      </w:r>
      <w:r>
        <w:rPr>
          <w:rFonts w:eastAsia="Tahoma" w:cs="Calibri Light"/>
          <w:sz w:val="24"/>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4"/>
          <w:szCs w:val="24"/>
          <w:u w:val="none"/>
        </w:rPr>
        <w:t>629 del codice penale</w:t>
      </w:r>
      <w:r>
        <w:fldChar w:fldCharType="end"/>
      </w:r>
      <w:r>
        <w:rPr>
          <w:rFonts w:eastAsia="Tahoma" w:cs="Calibri Light"/>
          <w:sz w:val="24"/>
          <w:szCs w:val="24"/>
        </w:rPr>
        <w:t xml:space="preserve"> aggravati ai sensi dell'articolo 7 del decreto-legge 13 maggio 1991, n. 152, convertito, con modificazioni, dalla legge 12 luglio 1991, n. 203?  (Art. 80, comma 5, lettera l)?</w:t>
      </w:r>
      <w:r>
        <w:rPr>
          <w:rFonts w:eastAsia="Tahoma" w:cs="Tahoma"/>
          <w:sz w:val="24"/>
          <w:szCs w:val="24"/>
        </w:rPr>
        <w:t xml:space="preserve">  </w:t>
      </w:r>
      <w:r>
        <w:rPr>
          <w:rFonts w:eastAsia="Tahoma" w:cs="Calibri Light"/>
          <w:sz w:val="24"/>
          <w:szCs w:val="24"/>
        </w:rPr>
        <w:t xml:space="preserve">    SI                NO  </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Calibri Light"/>
          <w:sz w:val="24"/>
          <w:szCs w:val="24"/>
        </w:rPr>
        <w:t>In caso di risposta affermativa, ha denunciato i fatti all’autorità giudiziaria?</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Tahoma"/>
          <w:sz w:val="24"/>
          <w:szCs w:val="24"/>
        </w:rPr>
        <w:t xml:space="preserve">        </w:t>
      </w:r>
      <w:r>
        <w:rPr>
          <w:rFonts w:eastAsia="Tahoma" w:cs="Tahoma"/>
          <w:sz w:val="24"/>
          <w:szCs w:val="24"/>
        </w:rPr>
        <w:t xml:space="preserve">SI                NO </w:t>
      </w:r>
      <w:r>
        <w:rPr>
          <w:rFonts w:eastAsia="Tahoma" w:cs="Calibri Light"/>
          <w:sz w:val="24"/>
          <w:szCs w:val="24"/>
        </w:rPr>
        <w:t xml:space="preserve"> </w:t>
      </w:r>
    </w:p>
    <w:p>
      <w:pPr>
        <w:pStyle w:val="Normal"/>
        <w:widowControl w:val="false"/>
        <w:tabs>
          <w:tab w:val="left" w:pos="-14476" w:leader="none"/>
          <w:tab w:val="left" w:pos="-13484" w:leader="none"/>
        </w:tabs>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276"/>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L’operatore economico si trova rispetto ad un altro partecipante alla medesima procedura di affidamento</w:t>
      </w:r>
      <w:r>
        <w:rPr>
          <w:rStyle w:val="CollegamentoInternet"/>
          <w:rFonts w:eastAsia="Tahoma" w:cs="Calibri Light"/>
          <w:color w:val="000000"/>
          <w:sz w:val="24"/>
          <w:szCs w:val="24"/>
          <w:u w:val="none"/>
        </w:rPr>
        <w:t>,</w:t>
      </w:r>
      <w:r>
        <w:rPr>
          <w:rFonts w:eastAsia="Tahoma" w:cs="Calibri Light"/>
          <w:sz w:val="24"/>
          <w:szCs w:val="24"/>
        </w:rPr>
        <w:t xml:space="preserve"> in una situazione di controllo di cui all’art. 2359 del codice civile o in una qualsiasi relazione, anche di fatto, se la situazione di controllo o la relazione comporti che le offerte sono imputabili ad un unico centro decisionale (Art. 80, comma 5, lettera m)?       </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Tahoma"/>
          <w:sz w:val="24"/>
          <w:szCs w:val="24"/>
        </w:rPr>
        <w:t xml:space="preserve">        </w:t>
      </w:r>
      <w:r>
        <w:rPr>
          <w:rFonts w:eastAsia="Tahoma" w:cs="Tahoma"/>
          <w:sz w:val="24"/>
          <w:szCs w:val="24"/>
        </w:rPr>
        <w:t xml:space="preserve">SI                NO </w:t>
      </w:r>
      <w:r>
        <w:rPr>
          <w:rFonts w:eastAsia="Tahoma" w:cs="Calibri Light"/>
          <w:sz w:val="24"/>
          <w:szCs w:val="24"/>
        </w:rPr>
        <w:t xml:space="preserve"> </w:t>
      </w:r>
    </w:p>
    <w:p>
      <w:pPr>
        <w:pStyle w:val="Sche3"/>
        <w:tabs>
          <w:tab w:val="left" w:pos="284" w:leader="none"/>
          <w:tab w:val="left" w:pos="1276" w:leader="none"/>
        </w:tabs>
        <w:ind w:left="644" w:right="0" w:hanging="284"/>
        <w:jc w:val="left"/>
        <w:rPr>
          <w:rFonts w:eastAsia="Tahoma"/>
          <w:sz w:val="24"/>
          <w:szCs w:val="24"/>
        </w:rPr>
      </w:pPr>
      <w:r>
        <w:rPr>
          <w:rFonts w:eastAsia="Tahoma"/>
          <w:sz w:val="24"/>
          <w:szCs w:val="24"/>
        </w:rPr>
      </w:r>
    </w:p>
    <w:p>
      <w:pPr>
        <w:pStyle w:val="Normal"/>
        <w:widowControl w:val="false"/>
        <w:tabs>
          <w:tab w:val="left" w:pos="-14476" w:leader="none"/>
          <w:tab w:val="left" w:pos="-13484" w:leader="none"/>
        </w:tabs>
        <w:spacing w:lineRule="auto" w:line="276"/>
        <w:ind w:left="426" w:right="0" w:hanging="0"/>
        <w:jc w:val="both"/>
        <w:rPr>
          <w:sz w:val="24"/>
          <w:szCs w:val="24"/>
        </w:rPr>
      </w:pPr>
      <w:r>
        <w:rPr>
          <w:sz w:val="24"/>
          <w:szCs w:val="24"/>
        </w:rPr>
      </w:r>
    </w:p>
    <w:p>
      <w:pPr>
        <w:pStyle w:val="Normal"/>
        <w:widowControl w:val="false"/>
        <w:tabs>
          <w:tab w:val="left" w:pos="-14476" w:leader="none"/>
          <w:tab w:val="left" w:pos="-13484" w:leader="none"/>
        </w:tabs>
        <w:spacing w:lineRule="auto" w:line="276"/>
        <w:ind w:left="426" w:right="0" w:hanging="0"/>
        <w:jc w:val="both"/>
        <w:rPr>
          <w:rFonts w:eastAsia="Tahoma" w:cs="Tahoma"/>
          <w:b/>
          <w:sz w:val="24"/>
          <w:szCs w:val="24"/>
        </w:rPr>
      </w:pPr>
      <w:r>
        <w:rPr>
          <w:rFonts w:eastAsia="Tahoma" w:cs="Tahoma"/>
          <w:b/>
          <w:sz w:val="24"/>
          <w:szCs w:val="24"/>
        </w:rPr>
        <w:t>PARTE IV DEL DGUE – Criteri di selezione</w:t>
      </w:r>
    </w:p>
    <w:p>
      <w:pPr>
        <w:pStyle w:val="Normal"/>
        <w:widowControl w:val="false"/>
        <w:tabs>
          <w:tab w:val="left" w:pos="-31226" w:leader="none"/>
        </w:tabs>
        <w:ind w:left="454" w:right="0" w:hanging="0"/>
        <w:jc w:val="left"/>
        <w:rPr>
          <w:rFonts w:cs="Calibri Light"/>
          <w:sz w:val="24"/>
          <w:szCs w:val="24"/>
        </w:rPr>
      </w:pPr>
      <w:r>
        <w:rPr>
          <w:rFonts w:cs="Calibri Light"/>
          <w:sz w:val="24"/>
          <w:szCs w:val="24"/>
        </w:rPr>
      </w:r>
    </w:p>
    <w:p>
      <w:pPr>
        <w:pStyle w:val="Normal"/>
        <w:widowControl w:val="false"/>
        <w:tabs>
          <w:tab w:val="left" w:pos="-31226" w:leader="none"/>
          <w:tab w:val="left" w:pos="1140" w:leader="none"/>
        </w:tabs>
        <w:ind w:left="454" w:right="0" w:hanging="0"/>
        <w:jc w:val="both"/>
        <w:rPr>
          <w:rFonts w:eastAsia="Tahoma" w:cs="Calibri Light"/>
          <w:b/>
          <w:sz w:val="24"/>
          <w:szCs w:val="24"/>
        </w:rPr>
      </w:pPr>
      <w:r>
        <w:rPr>
          <w:rFonts w:eastAsia="Tahoma" w:cs="Calibri Light"/>
          <w:b/>
          <w:sz w:val="24"/>
          <w:szCs w:val="24"/>
        </w:rPr>
        <w:t xml:space="preserve">A </w:t>
        <w:tab/>
        <w:t>Idoneità:</w:t>
      </w:r>
    </w:p>
    <w:p>
      <w:pPr>
        <w:pStyle w:val="Normal"/>
        <w:widowControl w:val="false"/>
        <w:tabs>
          <w:tab w:val="left" w:pos="-14930" w:leader="none"/>
          <w:tab w:val="left" w:pos="-13938" w:leader="none"/>
        </w:tabs>
        <w:ind w:left="850" w:right="0" w:hanging="0"/>
        <w:jc w:val="both"/>
        <w:rPr>
          <w:rFonts w:cs="Calibri Light"/>
          <w:sz w:val="24"/>
          <w:szCs w:val="24"/>
        </w:rPr>
      </w:pPr>
      <w:r>
        <w:rPr>
          <w:rFonts w:cs="Calibri Light"/>
          <w:sz w:val="24"/>
          <w:szCs w:val="24"/>
        </w:rPr>
      </w:r>
    </w:p>
    <w:p>
      <w:pPr>
        <w:pStyle w:val="Normal"/>
        <w:widowControl w:val="false"/>
        <w:tabs>
          <w:tab w:val="left" w:pos="-14930" w:leader="none"/>
          <w:tab w:val="left" w:pos="-13938" w:leader="none"/>
        </w:tabs>
        <w:suppressAutoHyphens w:val="true"/>
        <w:bidi w:val="0"/>
        <w:ind w:left="510" w:right="0" w:hanging="0"/>
        <w:jc w:val="both"/>
        <w:rPr>
          <w:rFonts w:eastAsia="Tahoma" w:cs="Calibri Light"/>
          <w:b/>
          <w:bCs/>
          <w:sz w:val="24"/>
          <w:szCs w:val="24"/>
        </w:rPr>
      </w:pPr>
      <w:r>
        <w:rPr>
          <w:rFonts w:eastAsia="Tahoma" w:cs="Calibri Light"/>
          <w:b/>
          <w:bCs/>
          <w:sz w:val="24"/>
          <w:szCs w:val="24"/>
        </w:rPr>
        <w:t>- Requisiti di idoneità professionale:</w:t>
      </w:r>
    </w:p>
    <w:p>
      <w:pPr>
        <w:pStyle w:val="Normal"/>
        <w:widowControl w:val="false"/>
        <w:tabs>
          <w:tab w:val="left" w:pos="-14760" w:leader="none"/>
          <w:tab w:val="left" w:pos="-13768" w:leader="none"/>
        </w:tabs>
        <w:ind w:left="1020" w:right="0" w:hanging="0"/>
        <w:jc w:val="both"/>
        <w:rPr>
          <w:rFonts w:cs="Calibri Light"/>
          <w:sz w:val="24"/>
          <w:szCs w:val="24"/>
        </w:rPr>
      </w:pPr>
      <w:r>
        <w:rPr>
          <w:rFonts w:cs="Calibri Light"/>
          <w:sz w:val="24"/>
          <w:szCs w:val="24"/>
        </w:rPr>
      </w:r>
    </w:p>
    <w:p>
      <w:pPr>
        <w:pStyle w:val="Normal"/>
        <w:widowControl w:val="false"/>
        <w:numPr>
          <w:ilvl w:val="0"/>
          <w:numId w:val="2"/>
        </w:numPr>
        <w:tabs>
          <w:tab w:val="left" w:pos="-15780" w:leader="none"/>
          <w:tab w:val="left" w:pos="-14788" w:leader="none"/>
        </w:tabs>
        <w:spacing w:lineRule="auto" w:line="360"/>
        <w:jc w:val="both"/>
        <w:rPr>
          <w:rFonts w:eastAsia="Tahoma" w:cs="Calibri Light"/>
          <w:sz w:val="24"/>
          <w:szCs w:val="24"/>
        </w:rPr>
      </w:pPr>
      <w:r>
        <w:rPr>
          <w:rFonts w:eastAsia="Tahoma" w:cs="Calibri Light"/>
          <w:sz w:val="24"/>
          <w:szCs w:val="24"/>
        </w:rPr>
        <w:t>Iscrizione iscrizione nel Registro della C.C.I.A.A. (Camera di Commercio, Industria, Artigianato, Agricoltura) o nel Registro delle Commissioni Provinciali per l’Artigianato, oppure negli appositi albi delle cooperative sociali o nei registri delle associazioni e società sportive dilettantistiche o enti di promozione sportiva con oggetto sociale coerente con l’oggetto dell’appalto.</w:t>
      </w:r>
    </w:p>
    <w:p>
      <w:pPr>
        <w:pStyle w:val="Normal"/>
        <w:widowControl w:val="false"/>
        <w:tabs>
          <w:tab w:val="left" w:pos="-14476" w:leader="none"/>
          <w:tab w:val="left" w:pos="-13484" w:leader="none"/>
        </w:tabs>
        <w:spacing w:lineRule="auto" w:line="276"/>
        <w:ind w:left="1304" w:right="0" w:hanging="0"/>
        <w:jc w:val="both"/>
        <w:rPr>
          <w:rFonts w:eastAsia="Tahoma" w:cs="Calibri Light"/>
          <w:sz w:val="24"/>
          <w:szCs w:val="24"/>
        </w:rPr>
      </w:pPr>
      <w:r>
        <w:rPr>
          <w:rFonts w:eastAsia="Tahoma" w:cs="Tahoma"/>
          <w:sz w:val="24"/>
          <w:szCs w:val="24"/>
        </w:rPr>
        <w:t xml:space="preserve">        </w:t>
      </w:r>
      <w:r>
        <w:rPr>
          <w:rFonts w:eastAsia="Tahoma" w:cs="Tahoma"/>
          <w:sz w:val="24"/>
          <w:szCs w:val="24"/>
        </w:rPr>
        <w:t xml:space="preserve">SI                NO </w:t>
      </w:r>
      <w:r>
        <w:rPr>
          <w:rFonts w:eastAsia="Tahoma" w:cs="Calibri Light"/>
          <w:sz w:val="24"/>
          <w:szCs w:val="24"/>
        </w:rPr>
        <w:t xml:space="preserve"> </w:t>
      </w:r>
    </w:p>
    <w:p>
      <w:pPr>
        <w:pStyle w:val="Normale"/>
        <w:widowControl/>
        <w:tabs>
          <w:tab w:val="left" w:pos="-14760" w:leader="none"/>
          <w:tab w:val="left" w:pos="-13768" w:leader="none"/>
        </w:tabs>
        <w:suppressAutoHyphens w:val="false"/>
        <w:spacing w:lineRule="atLeast" w:line="340"/>
        <w:ind w:left="1020" w:right="0" w:hanging="0"/>
        <w:jc w:val="both"/>
        <w:textAlignment w:val="auto"/>
        <w:rPr>
          <w:rFonts w:eastAsia="Tahoma"/>
        </w:rPr>
      </w:pPr>
      <w:r>
        <w:rPr>
          <w:rFonts w:eastAsia="Tahoma"/>
        </w:rPr>
      </w:r>
    </w:p>
    <w:p>
      <w:pPr>
        <w:pStyle w:val="Normal"/>
        <w:spacing w:lineRule="atLeast" w:line="340"/>
        <w:jc w:val="both"/>
        <w:rPr>
          <w:b/>
          <w:i w:val="false"/>
          <w:iCs w:val="false"/>
          <w:color w:val="000000"/>
          <w:sz w:val="24"/>
          <w:szCs w:val="24"/>
          <w:u w:val="none"/>
        </w:rPr>
      </w:pPr>
      <w:bookmarkStart w:id="21" w:name="__DdeLink__2211_255646428"/>
      <w:bookmarkEnd w:id="21"/>
      <w:r>
        <w:rPr>
          <w:b/>
          <w:i w:val="false"/>
          <w:iCs w:val="false"/>
          <w:color w:val="000000"/>
          <w:sz w:val="24"/>
          <w:szCs w:val="24"/>
          <w:u w:val="none"/>
        </w:rPr>
        <w:t xml:space="preserve">- Requisiti di capacità economica finanziaria </w:t>
      </w:r>
    </w:p>
    <w:p>
      <w:pPr>
        <w:pStyle w:val="Normal"/>
        <w:widowControl/>
        <w:tabs>
          <w:tab w:val="left" w:pos="-14760" w:leader="none"/>
          <w:tab w:val="left" w:pos="-13768" w:leader="none"/>
        </w:tabs>
        <w:suppressAutoHyphens w:val="false"/>
        <w:spacing w:lineRule="atLeast" w:line="340" w:before="171" w:after="171"/>
        <w:ind w:left="1020" w:right="0" w:hanging="0"/>
        <w:jc w:val="both"/>
        <w:textAlignment w:val="auto"/>
        <w:rPr>
          <w:rFonts w:eastAsia="Tahoma"/>
          <w:b w:val="false"/>
          <w:bCs w:val="false"/>
          <w:color w:val="000000"/>
          <w:sz w:val="24"/>
          <w:szCs w:val="24"/>
        </w:rPr>
      </w:pPr>
      <w:r>
        <w:rPr>
          <w:rFonts w:eastAsia="Tahoma"/>
          <w:color w:val="000000"/>
          <w:sz w:val="24"/>
          <w:szCs w:val="24"/>
        </w:rPr>
        <w:t xml:space="preserve">a) </w:t>
      </w:r>
      <w:r>
        <w:rPr>
          <w:rFonts w:eastAsia="Tahoma"/>
          <w:b w:val="false"/>
          <w:bCs w:val="false"/>
          <w:color w:val="000000"/>
          <w:sz w:val="24"/>
          <w:szCs w:val="24"/>
        </w:rPr>
        <w:t xml:space="preserve">di aver realizzato, negli ultimi tre esercizi finanziari disponibili, un </w:t>
      </w:r>
      <w:r>
        <w:rPr>
          <w:rFonts w:eastAsia="Tahoma"/>
          <w:b/>
          <w:bCs/>
          <w:color w:val="000000"/>
          <w:sz w:val="24"/>
          <w:szCs w:val="24"/>
        </w:rPr>
        <w:t>fatturato globale non inferiore a € 50.000,00</w:t>
      </w:r>
      <w:r>
        <w:rPr>
          <w:rFonts w:eastAsia="Tahoma"/>
          <w:b w:val="false"/>
          <w:bCs w:val="false"/>
          <w:color w:val="000000"/>
          <w:sz w:val="24"/>
          <w:szCs w:val="24"/>
        </w:rPr>
        <w:t xml:space="preserve"> iva esclusa.</w:t>
      </w:r>
    </w:p>
    <w:p>
      <w:pPr>
        <w:pStyle w:val="Normal"/>
        <w:widowControl w:val="false"/>
        <w:tabs>
          <w:tab w:val="left" w:pos="-15780" w:leader="none"/>
          <w:tab w:val="left" w:pos="-14788" w:leader="none"/>
        </w:tabs>
        <w:suppressAutoHyphens w:val="false"/>
        <w:spacing w:lineRule="auto" w:line="360" w:before="171" w:after="171"/>
        <w:ind w:left="1440" w:right="0" w:hanging="0"/>
        <w:jc w:val="both"/>
        <w:textAlignment w:val="auto"/>
        <w:rPr>
          <w:rFonts w:eastAsia="Tahoma" w:cs="Calibri Light"/>
          <w:b w:val="false"/>
          <w:bCs w:val="false"/>
          <w:color w:val="000000"/>
          <w:sz w:val="24"/>
          <w:szCs w:val="24"/>
        </w:rPr>
      </w:pPr>
      <w:r>
        <w:rPr>
          <w:rFonts w:eastAsia="Tahoma" w:cs="Calibri Light"/>
          <w:b w:val="false"/>
          <w:bCs w:val="false"/>
          <w:color w:val="000000"/>
          <w:sz w:val="24"/>
          <w:szCs w:val="24"/>
        </w:rPr>
        <w:t xml:space="preserve">   </w:t>
      </w:r>
      <w:r>
        <w:rPr>
          <w:rFonts w:eastAsia="Tahoma" w:cs="Calibri Light"/>
          <w:b w:val="false"/>
          <w:bCs w:val="false"/>
          <w:color w:val="000000"/>
          <w:sz w:val="24"/>
          <w:szCs w:val="24"/>
        </w:rPr>
        <w:t>SI                NO</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ascii="Times" w:hAnsi="Times"/>
          <w:b w:val="false"/>
          <w:bCs w:val="false"/>
          <w:color w:val="000000"/>
          <w:sz w:val="24"/>
          <w:szCs w:val="24"/>
        </w:rPr>
      </w:pPr>
      <w:r>
        <w:rPr>
          <w:rFonts w:eastAsia="Tahoma" w:cs="Tahoma" w:ascii="Times" w:hAnsi="Times"/>
          <w:color w:val="000000"/>
          <w:sz w:val="24"/>
          <w:szCs w:val="24"/>
        </w:rPr>
        <w:t xml:space="preserve">In caso di risposta affermativa indicare il fatturato globale e l’anno di riferimento:  </w:t>
      </w:r>
      <w:r>
        <w:rPr>
          <w:rFonts w:eastAsia="Tahoma" w:cs="Tahoma" w:ascii="Times" w:hAnsi="Times"/>
          <w:b w:val="false"/>
          <w:bCs w:val="false"/>
          <w:color w:val="000000"/>
          <w:sz w:val="24"/>
          <w:szCs w:val="24"/>
        </w:rPr>
        <w:t>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ascii="Times" w:hAnsi="Times"/>
          <w:b w:val="false"/>
          <w:bCs w:val="false"/>
          <w:color w:val="000000"/>
          <w:sz w:val="24"/>
          <w:szCs w:val="24"/>
        </w:rPr>
      </w:pPr>
      <w:r>
        <w:rPr>
          <w:rFonts w:eastAsia="Tahoma" w:cs="Tahoma" w:ascii="Times" w:hAnsi="Times"/>
          <w:b w:val="false"/>
          <w:bCs w:val="false"/>
          <w:color w:val="000000"/>
          <w:sz w:val="24"/>
          <w:szCs w:val="24"/>
        </w:rPr>
        <w:t>__________________________________________________________________________</w:t>
      </w:r>
    </w:p>
    <w:p>
      <w:pPr>
        <w:pStyle w:val="Normal"/>
        <w:widowControl w:val="false"/>
        <w:tabs>
          <w:tab w:val="left" w:pos="-14193" w:leader="none"/>
          <w:tab w:val="left" w:pos="-13201" w:leader="none"/>
        </w:tabs>
        <w:suppressAutoHyphens w:val="false"/>
        <w:bidi w:val="0"/>
        <w:spacing w:lineRule="atLeast" w:line="340" w:before="170" w:after="170"/>
        <w:ind w:left="1134" w:right="0" w:hanging="0"/>
        <w:jc w:val="both"/>
        <w:textAlignment w:val="auto"/>
        <w:rPr>
          <w:rFonts w:eastAsia="Tahoma" w:cs="Tahoma" w:ascii="Times" w:hAnsi="Times"/>
          <w:b w:val="false"/>
          <w:bCs w:val="false"/>
          <w:color w:val="000000"/>
          <w:sz w:val="24"/>
          <w:szCs w:val="24"/>
        </w:rPr>
      </w:pPr>
      <w:r>
        <w:rPr>
          <w:rFonts w:eastAsia="Tahoma" w:cs="Tahoma" w:ascii="Times" w:hAnsi="Times"/>
          <w:b w:val="false"/>
          <w:bCs w:val="false"/>
          <w:color w:val="000000"/>
          <w:sz w:val="24"/>
          <w:szCs w:val="24"/>
        </w:rPr>
        <w:t>__________________________________________________________________________;</w:t>
      </w:r>
    </w:p>
    <w:p>
      <w:pPr>
        <w:pStyle w:val="Normal"/>
        <w:spacing w:lineRule="atLeast" w:line="340"/>
        <w:jc w:val="both"/>
        <w:rPr>
          <w:b/>
          <w:sz w:val="24"/>
          <w:szCs w:val="24"/>
        </w:rPr>
      </w:pPr>
      <w:r>
        <w:rPr>
          <w:rStyle w:val="Carpredefinitoparagrafo"/>
          <w:rFonts w:eastAsia="Times New Roman" w:cs="Times New Roman"/>
          <w:b/>
          <w:bCs w:val="false"/>
          <w:i w:val="false"/>
          <w:iCs w:val="false"/>
          <w:color w:val="000000"/>
          <w:sz w:val="24"/>
          <w:szCs w:val="24"/>
          <w:lang w:eastAsia="it-IT" w:bidi="ar-SA"/>
        </w:rPr>
        <w:t>- Requisiti di capacità tecnico-professionale</w:t>
      </w:r>
      <w:r>
        <w:rPr>
          <w:b/>
          <w:sz w:val="24"/>
          <w:szCs w:val="24"/>
        </w:rPr>
        <w:t>:</w:t>
      </w:r>
    </w:p>
    <w:p>
      <w:pPr>
        <w:pStyle w:val="Normal"/>
        <w:spacing w:lineRule="atLeast" w:line="340"/>
        <w:jc w:val="both"/>
        <w:rPr>
          <w:b/>
          <w:sz w:val="24"/>
          <w:szCs w:val="24"/>
        </w:rPr>
      </w:pPr>
      <w:r>
        <w:rPr>
          <w:b/>
          <w:sz w:val="24"/>
          <w:szCs w:val="24"/>
        </w:rPr>
      </w:r>
    </w:p>
    <w:p>
      <w:pPr>
        <w:pStyle w:val="Normal"/>
        <w:widowControl w:val="false"/>
        <w:numPr>
          <w:ilvl w:val="0"/>
          <w:numId w:val="5"/>
        </w:numPr>
        <w:tabs>
          <w:tab w:val="left" w:pos="-14930" w:leader="none"/>
          <w:tab w:val="left" w:pos="-13938" w:leader="none"/>
          <w:tab w:val="left" w:pos="960" w:leader="none"/>
          <w:tab w:val="left" w:pos="2490" w:leader="none"/>
        </w:tabs>
        <w:suppressAutoHyphens w:val="true"/>
        <w:bidi w:val="0"/>
        <w:spacing w:lineRule="auto" w:line="360"/>
        <w:ind w:left="964" w:right="0" w:hanging="360"/>
        <w:jc w:val="both"/>
        <w:textAlignment w:val="baseline"/>
        <w:rPr>
          <w:rFonts w:eastAsia="Tahoma" w:cs="Tahoma"/>
          <w:b w:val="false"/>
          <w:bCs w:val="false"/>
          <w:color w:val="000000"/>
          <w:sz w:val="24"/>
          <w:szCs w:val="24"/>
        </w:rPr>
      </w:pPr>
      <w:r>
        <w:rPr>
          <w:rFonts w:cs="Calibri Light"/>
          <w:sz w:val="24"/>
          <w:szCs w:val="24"/>
          <w:shd w:fill="FFFFFF" w:val="clear"/>
        </w:rPr>
        <w:t>di a</w:t>
      </w:r>
      <w:r>
        <w:rPr>
          <w:rFonts w:eastAsia="Tahoma" w:cs="Tahoma"/>
          <w:szCs w:val="24"/>
        </w:rPr>
        <w:t xml:space="preserve">ver realizzato negli ultimi tre anni </w:t>
      </w:r>
      <w:bookmarkStart w:id="22" w:name="__DdeLink__66901_1542189052"/>
      <w:r>
        <w:rPr>
          <w:rFonts w:eastAsia="Tahoma" w:cs="Tahoma"/>
          <w:szCs w:val="24"/>
        </w:rPr>
        <w:t>(2018/2017/2016)</w:t>
      </w:r>
      <w:bookmarkEnd w:id="22"/>
      <w:r>
        <w:rPr>
          <w:rFonts w:eastAsia="Tahoma" w:cs="Tahoma"/>
          <w:szCs w:val="24"/>
        </w:rPr>
        <w:t xml:space="preserve"> un fatturato per servizi analoghi a quelli oggetto di gara per un importo</w:t>
      </w:r>
      <w:r>
        <w:rPr>
          <w:rFonts w:eastAsia="Tahoma" w:cs="Tahoma"/>
          <w:b w:val="false"/>
          <w:bCs w:val="false"/>
          <w:szCs w:val="24"/>
        </w:rPr>
        <w:t xml:space="preserve"> complessivo </w:t>
      </w:r>
      <w:r>
        <w:rPr>
          <w:rFonts w:eastAsia="Tahoma" w:cs="Tahoma"/>
          <w:b w:val="false"/>
          <w:bCs w:val="false"/>
          <w:color w:val="000000"/>
          <w:sz w:val="24"/>
          <w:szCs w:val="24"/>
        </w:rPr>
        <w:t>non inferiore a € 40.000,00 iva esclusa:</w:t>
      </w:r>
    </w:p>
    <w:p>
      <w:pPr>
        <w:pStyle w:val="Normal"/>
        <w:widowControl w:val="false"/>
        <w:tabs>
          <w:tab w:val="left" w:pos="-15780" w:leader="none"/>
          <w:tab w:val="left" w:pos="-14788" w:leader="none"/>
        </w:tabs>
        <w:spacing w:lineRule="auto" w:line="360"/>
        <w:ind w:left="1134" w:right="0" w:hanging="0"/>
        <w:jc w:val="left"/>
        <w:rPr>
          <w:rFonts w:eastAsia="Tahoma" w:cs="Tahoma"/>
          <w:bCs/>
          <w:sz w:val="24"/>
          <w:szCs w:val="24"/>
        </w:rPr>
      </w:pPr>
      <w:r>
        <w:rPr>
          <w:rFonts w:eastAsia="Tahoma" w:cs="Tahoma"/>
          <w:sz w:val="24"/>
          <w:szCs w:val="24"/>
        </w:rPr>
        <w:t xml:space="preserve">        </w:t>
      </w:r>
      <w:r>
        <w:rPr>
          <w:rFonts w:eastAsia="Tahoma" w:cs="Tahoma"/>
          <w:sz w:val="24"/>
          <w:szCs w:val="24"/>
        </w:rPr>
        <w:t xml:space="preserve">SI                NO </w:t>
      </w:r>
      <w:r>
        <w:rPr>
          <w:rFonts w:eastAsia="Tahoma" w:cs="Calibri Light"/>
          <w:sz w:val="24"/>
          <w:szCs w:val="24"/>
        </w:rPr>
        <w:t xml:space="preserve"> </w:t>
      </w:r>
      <w:bookmarkStart w:id="23" w:name="__DdeLink__11616_1920585566"/>
      <w:r>
        <w:rPr>
          <w:rFonts w:eastAsia="Tahoma" w:cs="Tahoma"/>
          <w:sz w:val="24"/>
          <w:szCs w:val="24"/>
        </w:rPr>
        <w:t xml:space="preserve">  In caso di risposta affermativa, </w:t>
      </w:r>
      <w:r>
        <w:rPr>
          <w:rFonts w:eastAsia="Tahoma" w:cs="Tahoma"/>
          <w:bCs/>
          <w:sz w:val="24"/>
          <w:szCs w:val="24"/>
        </w:rPr>
        <w:t>indicare</w:t>
      </w:r>
      <w:bookmarkEnd w:id="23"/>
      <w:r>
        <w:rPr>
          <w:rFonts w:eastAsia="Tahoma" w:cs="Tahoma"/>
          <w:bCs/>
          <w:sz w:val="24"/>
          <w:szCs w:val="24"/>
        </w:rPr>
        <w:t>:</w:t>
      </w:r>
    </w:p>
    <w:p>
      <w:pPr>
        <w:pStyle w:val="Normal"/>
        <w:widowControl w:val="false"/>
        <w:tabs>
          <w:tab w:val="left" w:pos="-15780" w:leader="none"/>
          <w:tab w:val="left" w:pos="-14788" w:leader="none"/>
        </w:tabs>
        <w:spacing w:lineRule="auto" w:line="360"/>
        <w:ind w:left="1134" w:right="0" w:hanging="0"/>
        <w:jc w:val="left"/>
        <w:rPr>
          <w:rFonts w:eastAsia="Tahoma" w:cs="Calibri Light"/>
          <w:bCs/>
          <w:sz w:val="24"/>
          <w:szCs w:val="24"/>
          <w:highlight w:val="white"/>
        </w:rPr>
      </w:pPr>
      <w:r>
        <w:rPr>
          <w:rFonts w:eastAsia="Tahoma" w:cs="Calibri Light"/>
          <w:bCs/>
          <w:sz w:val="24"/>
          <w:szCs w:val="24"/>
          <w:highlight w:val="white"/>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dal_________________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importo (</w:t>
      </w:r>
      <w:r>
        <w:rPr>
          <w:rFonts w:eastAsia="Tahoma" w:cs="Tahoma"/>
          <w:b w:val="false"/>
          <w:bCs w:val="false"/>
          <w:color w:val="000000"/>
          <w:sz w:val="24"/>
          <w:szCs w:val="24"/>
          <w:highlight w:val="white"/>
        </w:rPr>
        <w:t>iva esclusa)</w:t>
      </w:r>
      <w:r>
        <w:rPr>
          <w:rFonts w:eastAsia="Tahoma" w:cs="Calibri Light"/>
          <w:bCs/>
          <w:sz w:val="24"/>
          <w:szCs w:val="24"/>
          <w:shd w:fill="FFFFFF" w:val="clear"/>
        </w:rPr>
        <w:t>:_________________________________________________________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b/>
          <w:bCs/>
        </w:rPr>
      </w:pPr>
      <w:r>
        <w:rPr>
          <w:b/>
          <w:bCs/>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dal 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sz w:val="24"/>
          <w:szCs w:val="24"/>
          <w:shd w:fill="FFFFFF" w:val="clear"/>
        </w:rPr>
      </w:pPr>
      <w:r>
        <w:rPr>
          <w:rFonts w:eastAsia="Tahoma" w:cs="Calibri Light"/>
          <w:b w:val="false"/>
          <w:bCs w:val="false"/>
          <w:sz w:val="24"/>
          <w:szCs w:val="24"/>
          <w:shd w:fill="FFFFFF" w:val="clear"/>
        </w:rPr>
        <w:t>importo (</w:t>
      </w:r>
      <w:r>
        <w:rPr>
          <w:rFonts w:eastAsia="Tahoma" w:cs="Tahoma"/>
          <w:b w:val="false"/>
          <w:bCs w:val="false"/>
          <w:color w:val="000000"/>
          <w:sz w:val="24"/>
          <w:szCs w:val="24"/>
          <w:highlight w:val="white"/>
        </w:rPr>
        <w:t>iva esclusa)</w:t>
      </w:r>
      <w:r>
        <w:rPr>
          <w:rFonts w:eastAsia="Tahoma" w:cs="Calibri Light"/>
          <w:b w:val="false"/>
          <w:bCs w:val="false"/>
          <w:sz w:val="24"/>
          <w:szCs w:val="24"/>
          <w:shd w:fill="FFFFFF" w:val="clear"/>
        </w:rPr>
        <w:t>:_________________________________________________________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pPr>
      <w:r>
        <w:rPr/>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Cs/>
          <w:sz w:val="24"/>
          <w:szCs w:val="24"/>
          <w:shd w:fill="FFFFFF" w:val="clear"/>
        </w:rPr>
      </w:pPr>
      <w:r>
        <w:rPr>
          <w:rFonts w:eastAsia="Tahoma" w:cs="Calibri Light"/>
          <w:bCs/>
          <w:sz w:val="24"/>
          <w:szCs w:val="24"/>
          <w:shd w:fill="FFFFFF" w:val="clear"/>
        </w:rPr>
        <w:t>oggetto del contratto:_________________________________________________________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Committente:_______________________________________________________________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denominazione impianto:______________________________________________________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natura dell’impianto (pubblico/privato):__________________________________________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proprietà dell’impianto:_______________________________________________________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localizzazione (città, via/p.zza, n.civ):___________________________________________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uto" w:line="360"/>
        <w:ind w:left="964" w:right="0" w:hanging="227"/>
        <w:jc w:val="left"/>
        <w:textAlignment w:val="baseline"/>
        <w:rPr>
          <w:rFonts w:eastAsia="Tahoma" w:cs="Calibri Light"/>
          <w:bCs/>
          <w:color w:val="00000A"/>
          <w:sz w:val="24"/>
          <w:szCs w:val="24"/>
          <w:shd w:fill="FFFFFF" w:val="clear"/>
          <w:lang w:val="it-IT" w:eastAsia="zh-CN" w:bidi="ar-SA"/>
        </w:rPr>
      </w:pPr>
      <w:r>
        <w:rPr>
          <w:rFonts w:eastAsia="Tahoma" w:cs="Calibri Light"/>
          <w:bCs/>
          <w:color w:val="00000A"/>
          <w:sz w:val="24"/>
          <w:szCs w:val="24"/>
          <w:shd w:fill="FFFFFF" w:val="clear"/>
          <w:lang w:val="it-IT" w:eastAsia="zh-CN" w:bidi="ar-SA"/>
        </w:rPr>
        <w:t>periodo: dal _________________ al _________________</w:t>
      </w:r>
    </w:p>
    <w:p>
      <w:pPr>
        <w:pStyle w:val="Normal"/>
        <w:widowControl w:val="false"/>
        <w:tabs>
          <w:tab w:val="left" w:pos="-15780" w:leader="none"/>
          <w:tab w:val="left" w:pos="-14788" w:leader="none"/>
        </w:tabs>
        <w:suppressAutoHyphens w:val="true"/>
        <w:bidi w:val="0"/>
        <w:spacing w:lineRule="auto" w:line="360"/>
        <w:ind w:left="737" w:right="0" w:hanging="0"/>
        <w:jc w:val="left"/>
        <w:textAlignment w:val="baseline"/>
        <w:rPr>
          <w:rFonts w:eastAsia="Tahoma" w:cs="Calibri Light"/>
          <w:b w:val="false"/>
          <w:bCs w:val="false"/>
          <w:sz w:val="24"/>
          <w:szCs w:val="24"/>
          <w:shd w:fill="FFFFFF" w:val="clear"/>
        </w:rPr>
      </w:pPr>
      <w:bookmarkStart w:id="24" w:name="__DdeLink__2211_2556464281"/>
      <w:bookmarkEnd w:id="24"/>
      <w:r>
        <w:rPr>
          <w:rFonts w:eastAsia="Tahoma" w:cs="Calibri Light"/>
          <w:b w:val="false"/>
          <w:bCs w:val="false"/>
          <w:sz w:val="24"/>
          <w:szCs w:val="24"/>
          <w:shd w:fill="FFFFFF" w:val="clear"/>
        </w:rPr>
        <w:t>importo (</w:t>
      </w:r>
      <w:r>
        <w:rPr>
          <w:rFonts w:eastAsia="Tahoma" w:cs="Tahoma"/>
          <w:b w:val="false"/>
          <w:bCs w:val="false"/>
          <w:color w:val="000000"/>
          <w:sz w:val="24"/>
          <w:szCs w:val="24"/>
          <w:highlight w:val="white"/>
        </w:rPr>
        <w:t>iva esclusa)</w:t>
      </w:r>
      <w:r>
        <w:rPr>
          <w:rFonts w:eastAsia="Tahoma" w:cs="Calibri Light"/>
          <w:b w:val="false"/>
          <w:bCs w:val="false"/>
          <w:sz w:val="24"/>
          <w:szCs w:val="24"/>
          <w:shd w:fill="FFFFFF" w:val="clear"/>
        </w:rPr>
        <w:t>:_________________________________________________________</w:t>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PARTE II DEL DGUE – Informazioni sull’Operatore Economico</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ind w:left="454" w:right="0" w:hanging="0"/>
        <w:jc w:val="both"/>
        <w:rPr>
          <w:rFonts w:eastAsia="Tahoma" w:cs="Tahoma"/>
          <w:sz w:val="24"/>
          <w:szCs w:val="24"/>
        </w:rPr>
      </w:pPr>
      <w:r>
        <w:rPr>
          <w:rFonts w:eastAsia="Tahoma" w:cs="Tahoma"/>
          <w:b/>
          <w:sz w:val="24"/>
          <w:szCs w:val="24"/>
        </w:rPr>
        <w:t xml:space="preserve">- </w:t>
        <w:tab/>
        <w:t xml:space="preserve">L’operatore economico fa affidamento sulle capacità di altri soggetti per soddisfare i </w:t>
        <w:tab/>
        <w:t>criteri di selezione (AVVALIMENTO)?</w:t>
      </w:r>
      <w:r>
        <w:rPr>
          <w:rFonts w:eastAsia="Tahoma" w:cs="Tahoma"/>
          <w:sz w:val="24"/>
          <w:szCs w:val="24"/>
        </w:rPr>
        <w:t>:</w:t>
      </w:r>
    </w:p>
    <w:p>
      <w:pPr>
        <w:pStyle w:val="Normal"/>
        <w:tabs>
          <w:tab w:val="left" w:pos="284" w:leader="none"/>
          <w:tab w:val="left" w:pos="1276" w:leader="none"/>
        </w:tabs>
        <w:jc w:val="both"/>
        <w:rPr>
          <w:rFonts w:eastAsia="Tahoma" w:cs="Tahoma"/>
          <w:sz w:val="24"/>
          <w:szCs w:val="24"/>
        </w:rPr>
      </w:pPr>
      <w:r>
        <w:rPr>
          <w:rFonts w:eastAsia="Tahoma" w:cs="Tahoma"/>
          <w:sz w:val="24"/>
          <w:szCs w:val="24"/>
        </w:rPr>
      </w:r>
    </w:p>
    <w:p>
      <w:pPr>
        <w:pStyle w:val="Normal"/>
        <w:widowControl w:val="false"/>
        <w:tabs>
          <w:tab w:val="left" w:pos="-14930" w:leader="none"/>
          <w:tab w:val="left" w:pos="-13938" w:leader="none"/>
        </w:tabs>
        <w:ind w:left="850" w:right="0" w:hanging="0"/>
        <w:jc w:val="both"/>
        <w:rPr>
          <w:rFonts w:eastAsia="Tahoma" w:cs="Calibri Light"/>
          <w:sz w:val="24"/>
          <w:szCs w:val="24"/>
        </w:rPr>
      </w:pPr>
      <w:r>
        <w:rPr>
          <w:rFonts w:eastAsia="Tahoma" w:cs="Tahoma"/>
          <w:sz w:val="24"/>
          <w:szCs w:val="24"/>
        </w:rPr>
        <w:t xml:space="preserve">           </w:t>
      </w:r>
      <w:r>
        <w:rPr>
          <w:rFonts w:eastAsia="Tahoma" w:cs="Tahoma"/>
          <w:sz w:val="24"/>
          <w:szCs w:val="24"/>
        </w:rPr>
        <w:t xml:space="preserve">SI                NO </w:t>
      </w:r>
      <w:r>
        <w:rPr>
          <w:rFonts w:eastAsia="Tahoma" w:cs="Calibri Light"/>
          <w:sz w:val="24"/>
          <w:szCs w:val="24"/>
        </w:rPr>
        <w:t xml:space="preserve"> </w:t>
      </w:r>
    </w:p>
    <w:p>
      <w:pPr>
        <w:pStyle w:val="Normal"/>
        <w:widowControl w:val="false"/>
        <w:tabs>
          <w:tab w:val="left" w:pos="-14930" w:leader="none"/>
          <w:tab w:val="left" w:pos="-13938" w:leader="none"/>
        </w:tabs>
        <w:ind w:left="850" w:right="0" w:hanging="0"/>
        <w:jc w:val="both"/>
        <w:rPr>
          <w:sz w:val="24"/>
          <w:szCs w:val="24"/>
        </w:rPr>
      </w:pPr>
      <w:r>
        <w:rPr>
          <w:sz w:val="24"/>
          <w:szCs w:val="24"/>
        </w:rPr>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t>In caso di risposta affermativa, l’operatore economico si impegna ad allegare, oltre a quanto già dichiarato nel  DGUE:</w:t>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t xml:space="preserve">              </w:t>
      </w:r>
    </w:p>
    <w:p>
      <w:pPr>
        <w:pStyle w:val="Normal"/>
        <w:widowControl w:val="false"/>
        <w:tabs>
          <w:tab w:val="left" w:pos="-14193" w:leader="none"/>
          <w:tab w:val="left" w:pos="-13201" w:leader="none"/>
        </w:tabs>
        <w:suppressAutoHyphens w:val="true"/>
        <w:bidi w:val="0"/>
        <w:ind w:left="454" w:right="0" w:hanging="0"/>
        <w:jc w:val="both"/>
        <w:rPr>
          <w:rFonts w:eastAsia="Tahoma" w:cs="Calibri Light"/>
          <w:sz w:val="24"/>
          <w:szCs w:val="24"/>
        </w:rPr>
      </w:pPr>
      <w:r>
        <w:rPr>
          <w:rFonts w:eastAsia="Tahoma" w:cs="Tahoma"/>
          <w:sz w:val="24"/>
          <w:szCs w:val="24"/>
        </w:rPr>
        <w:t xml:space="preserve">1: Il contratto di avvalimento:            SI                NO </w:t>
      </w:r>
      <w:r>
        <w:rPr>
          <w:rFonts w:eastAsia="Tahoma" w:cs="Calibri Light"/>
          <w:sz w:val="24"/>
          <w:szCs w:val="24"/>
        </w:rPr>
        <w:t xml:space="preserve"> </w:t>
      </w:r>
    </w:p>
    <w:p>
      <w:pPr>
        <w:pStyle w:val="Normal"/>
        <w:widowControl w:val="false"/>
        <w:tabs>
          <w:tab w:val="left" w:pos="-14193" w:leader="none"/>
          <w:tab w:val="left" w:pos="-13201" w:leader="none"/>
        </w:tabs>
        <w:ind w:left="1587" w:right="0" w:hanging="0"/>
        <w:jc w:val="both"/>
        <w:rPr>
          <w:sz w:val="24"/>
          <w:szCs w:val="24"/>
        </w:rPr>
      </w:pPr>
      <w:r>
        <w:rPr>
          <w:sz w:val="24"/>
          <w:szCs w:val="24"/>
        </w:rPr>
      </w:r>
    </w:p>
    <w:p>
      <w:pPr>
        <w:pStyle w:val="Normal"/>
        <w:widowControl w:val="false"/>
        <w:tabs>
          <w:tab w:val="left" w:pos="-14193" w:leader="none"/>
          <w:tab w:val="left" w:pos="-13201" w:leader="none"/>
        </w:tabs>
        <w:suppressAutoHyphens w:val="true"/>
        <w:bidi w:val="0"/>
        <w:ind w:left="454" w:right="0" w:hanging="0"/>
        <w:jc w:val="both"/>
        <w:rPr>
          <w:rFonts w:eastAsia="Tahoma" w:cs="Tahoma"/>
          <w:sz w:val="24"/>
          <w:szCs w:val="24"/>
        </w:rPr>
      </w:pPr>
      <w:r>
        <w:rPr>
          <w:rFonts w:eastAsia="Tahoma" w:cs="Tahoma"/>
          <w:sz w:val="24"/>
          <w:szCs w:val="24"/>
        </w:rPr>
        <w:t xml:space="preserve">2: La dichiarazione sostitutiva di cui all’articolo 89, comma 1, del D. Lgs. 50/2016, rilasciata dall’impresa ausiliaria, attestante il possesso dei requisiti tecnici e delle risorse oggetto di avvalimento (Contenuta nell’Allegato 5 che si allega):           SI                NO </w:t>
      </w:r>
      <w:r>
        <w:rPr>
          <w:rFonts w:eastAsia="Tahoma" w:cs="Calibri Light"/>
          <w:sz w:val="24"/>
          <w:szCs w:val="24"/>
        </w:rPr>
        <w:t xml:space="preserve"> </w:t>
      </w:r>
      <w:r>
        <w:rPr>
          <w:rFonts w:eastAsia="Tahoma" w:cs="Tahoma"/>
          <w:sz w:val="24"/>
          <w:szCs w:val="24"/>
        </w:rPr>
        <w:t xml:space="preserve">   </w:t>
      </w:r>
    </w:p>
    <w:p>
      <w:pPr>
        <w:pStyle w:val="Normal"/>
        <w:widowControl w:val="false"/>
        <w:tabs>
          <w:tab w:val="left" w:pos="-14930" w:leader="none"/>
          <w:tab w:val="left" w:pos="-13938" w:leader="none"/>
        </w:tabs>
        <w:ind w:left="850" w:right="0" w:hanging="0"/>
        <w:jc w:val="both"/>
        <w:rPr>
          <w:rFonts w:eastAsia="Tahoma" w:cs="Tahoma"/>
          <w:sz w:val="24"/>
          <w:szCs w:val="24"/>
        </w:rPr>
      </w:pPr>
      <w:r>
        <w:rPr>
          <w:rFonts w:eastAsia="Tahoma" w:cs="Tahoma"/>
          <w:sz w:val="24"/>
          <w:szCs w:val="24"/>
        </w:rPr>
        <w:t xml:space="preserve">        </w:t>
      </w:r>
      <w:r>
        <w:rPr>
          <w:rFonts w:eastAsia="Tahoma" w:cs="Tahoma"/>
          <w:sz w:val="24"/>
          <w:szCs w:val="24"/>
        </w:rPr>
        <w:tab/>
      </w:r>
    </w:p>
    <w:p>
      <w:pPr>
        <w:pStyle w:val="Normal"/>
        <w:widowControl w:val="false"/>
        <w:tabs>
          <w:tab w:val="left" w:pos="-14193" w:leader="none"/>
          <w:tab w:val="left" w:pos="-13201" w:leader="none"/>
        </w:tabs>
        <w:suppressAutoHyphens w:val="true"/>
        <w:bidi w:val="0"/>
        <w:ind w:left="454" w:right="0" w:hanging="0"/>
        <w:jc w:val="both"/>
        <w:rPr>
          <w:rFonts w:eastAsia="Tahoma" w:cs="Calibri Light"/>
          <w:sz w:val="24"/>
          <w:szCs w:val="24"/>
        </w:rPr>
      </w:pPr>
      <w:r>
        <w:rPr>
          <w:rFonts w:eastAsia="Tahoma" w:cs="Tahoma"/>
          <w:sz w:val="24"/>
          <w:szCs w:val="24"/>
        </w:rPr>
        <w:t xml:space="preserve">3: La dichiarazione sostitutiva di cui all’art. 89, comma 7 del D. Lgs. 50/2016, sottoscritta dall’ausiliaria con la quale quest’ultima attesta di non partecipare alla gara in proprio o come associata o consorziata </w:t>
      </w:r>
      <w:r>
        <w:rPr>
          <w:sz w:val="24"/>
          <w:szCs w:val="24"/>
        </w:rPr>
        <w:t>(Contenuta nell’Allegato 5 che si allega)</w:t>
      </w:r>
      <w:r>
        <w:rPr>
          <w:rFonts w:eastAsia="Tahoma" w:cs="Tahoma"/>
          <w:sz w:val="24"/>
          <w:szCs w:val="24"/>
        </w:rPr>
        <w:t xml:space="preserve">:             SI                NO </w:t>
      </w:r>
      <w:r>
        <w:rPr>
          <w:rFonts w:eastAsia="Tahoma" w:cs="Calibri Light"/>
          <w:sz w:val="24"/>
          <w:szCs w:val="24"/>
        </w:rPr>
        <w:t xml:space="preserve"> </w:t>
      </w:r>
    </w:p>
    <w:p>
      <w:pPr>
        <w:pStyle w:val="Normal"/>
        <w:tabs>
          <w:tab w:val="left" w:pos="284" w:leader="none"/>
          <w:tab w:val="left" w:pos="1276" w:leader="none"/>
        </w:tabs>
        <w:jc w:val="both"/>
        <w:rPr>
          <w:rFonts w:eastAsia="Tahoma" w:cs="Tahoma"/>
          <w:sz w:val="24"/>
          <w:szCs w:val="24"/>
        </w:rPr>
      </w:pPr>
      <w:r>
        <w:rPr>
          <w:rFonts w:eastAsia="Tahoma" w:cs="Tahoma"/>
          <w:sz w:val="24"/>
          <w:szCs w:val="24"/>
        </w:rPr>
      </w:r>
    </w:p>
    <w:p>
      <w:pPr>
        <w:pStyle w:val="Normal"/>
        <w:widowControl w:val="false"/>
        <w:tabs>
          <w:tab w:val="left" w:pos="-31226" w:leader="none"/>
        </w:tabs>
        <w:spacing w:lineRule="auto" w:line="360"/>
        <w:ind w:left="454" w:right="0" w:hanging="0"/>
        <w:jc w:val="both"/>
        <w:rPr>
          <w:sz w:val="24"/>
          <w:szCs w:val="24"/>
        </w:rPr>
      </w:pPr>
      <w:r>
        <w:rPr>
          <w:sz w:val="24"/>
          <w:szCs w:val="24"/>
        </w:rPr>
      </w:r>
    </w:p>
    <w:p>
      <w:pPr>
        <w:pStyle w:val="Normal"/>
        <w:tabs>
          <w:tab w:val="left" w:pos="908" w:leader="none"/>
          <w:tab w:val="left" w:pos="1900" w:leader="none"/>
        </w:tabs>
        <w:ind w:left="624" w:right="0" w:hanging="0"/>
        <w:jc w:val="both"/>
        <w:rPr>
          <w:rFonts w:eastAsia="Tahoma" w:cs="Tahoma"/>
          <w:b/>
          <w:bCs/>
          <w:sz w:val="24"/>
          <w:szCs w:val="24"/>
        </w:rPr>
      </w:pPr>
      <w:r>
        <w:rPr>
          <w:rFonts w:eastAsia="Tahoma" w:cs="Tahoma"/>
          <w:b/>
          <w:bCs/>
          <w:sz w:val="24"/>
          <w:szCs w:val="24"/>
        </w:rPr>
        <w:t>ULTERIORI DICHIARAZIONI</w:t>
      </w:r>
    </w:p>
    <w:p>
      <w:pPr>
        <w:pStyle w:val="Normal"/>
        <w:tabs>
          <w:tab w:val="left" w:pos="908" w:leader="none"/>
          <w:tab w:val="left" w:pos="1900" w:leader="none"/>
        </w:tabs>
        <w:ind w:left="624" w:right="0" w:hanging="0"/>
        <w:jc w:val="both"/>
        <w:rPr>
          <w:rFonts w:eastAsia="Tahoma" w:cs="Tahoma"/>
          <w:b/>
          <w:bCs/>
          <w:sz w:val="24"/>
          <w:szCs w:val="24"/>
        </w:rPr>
      </w:pPr>
      <w:r>
        <w:rPr>
          <w:rFonts w:eastAsia="Tahoma" w:cs="Tahoma"/>
          <w:b/>
          <w:bCs/>
          <w:sz w:val="24"/>
          <w:szCs w:val="24"/>
        </w:rPr>
        <w:t>L’operatore economico dichiara:</w:t>
      </w:r>
    </w:p>
    <w:p>
      <w:pPr>
        <w:pStyle w:val="Normal"/>
        <w:tabs>
          <w:tab w:val="left" w:pos="284" w:leader="none"/>
          <w:tab w:val="left" w:pos="1276" w:leader="none"/>
        </w:tabs>
        <w:jc w:val="both"/>
        <w:rPr>
          <w:rFonts w:eastAsia="Tahoma" w:cs="Tahoma"/>
          <w:sz w:val="24"/>
          <w:szCs w:val="24"/>
        </w:rPr>
      </w:pPr>
      <w:r>
        <w:rPr>
          <w:rFonts w:eastAsia="Tahoma" w:cs="Tahoma"/>
          <w:sz w:val="24"/>
          <w:szCs w:val="24"/>
        </w:rPr>
      </w:r>
    </w:p>
    <w:p>
      <w:pPr>
        <w:pStyle w:val="Normal"/>
        <w:tabs>
          <w:tab w:val="left" w:pos="908" w:leader="none"/>
          <w:tab w:val="left" w:pos="1900" w:leader="none"/>
        </w:tabs>
        <w:ind w:left="624" w:right="0" w:hanging="0"/>
        <w:jc w:val="both"/>
        <w:rPr>
          <w:rFonts w:eastAsia="Tahoma" w:cs="Tahoma"/>
          <w:b/>
          <w:bCs/>
          <w:sz w:val="24"/>
          <w:szCs w:val="24"/>
        </w:rPr>
      </w:pPr>
      <w:r>
        <w:rPr>
          <w:rFonts w:eastAsia="Tahoma" w:cs="Tahoma"/>
          <w:b/>
          <w:bCs/>
          <w:sz w:val="24"/>
          <w:szCs w:val="24"/>
        </w:rPr>
      </w:r>
    </w:p>
    <w:p>
      <w:pPr>
        <w:pStyle w:val="Normal"/>
        <w:widowControl w:val="false"/>
        <w:numPr>
          <w:ilvl w:val="0"/>
          <w:numId w:val="6"/>
        </w:numPr>
        <w:tabs>
          <w:tab w:val="left" w:pos="284" w:leader="none"/>
          <w:tab w:val="left" w:pos="1276" w:leader="none"/>
        </w:tabs>
        <w:spacing w:lineRule="auto" w:line="276"/>
        <w:jc w:val="both"/>
        <w:rPr>
          <w:rFonts w:eastAsia="Tahoma" w:cs="Tahoma" w:ascii="Times" w:hAnsi="Times"/>
          <w:bCs/>
          <w:sz w:val="24"/>
          <w:szCs w:val="24"/>
        </w:rPr>
      </w:pPr>
      <w:r>
        <w:rPr>
          <w:rFonts w:eastAsia="Tahoma" w:cs="Tahoma" w:ascii="Times" w:hAnsi="Times"/>
          <w:bCs/>
          <w:sz w:val="24"/>
          <w:szCs w:val="24"/>
        </w:rPr>
        <w:t>di avere effettuato il sopralluogo obbligatorio:</w:t>
      </w:r>
      <w:r>
        <w:rPr/>
        <w:t xml:space="preserve">     SI           NO  </w:t>
      </w:r>
      <w:r>
        <w:rPr>
          <w:rFonts w:eastAsia="Tahoma" w:cs="Tahoma" w:ascii="Times" w:hAnsi="Times"/>
          <w:bCs/>
          <w:sz w:val="24"/>
          <w:szCs w:val="24"/>
        </w:rPr>
        <w:t>In data: ________________;</w:t>
      </w:r>
    </w:p>
    <w:p>
      <w:pPr>
        <w:pStyle w:val="Normal"/>
        <w:tabs>
          <w:tab w:val="left" w:pos="284" w:leader="none"/>
          <w:tab w:val="left" w:pos="1276" w:leader="none"/>
        </w:tabs>
        <w:ind w:left="720" w:right="0" w:hanging="0"/>
        <w:jc w:val="both"/>
        <w:rPr>
          <w:rFonts w:eastAsia="Tahoma" w:cs="Tahoma"/>
          <w:b/>
          <w:bCs/>
          <w:sz w:val="24"/>
          <w:szCs w:val="24"/>
        </w:rPr>
      </w:pPr>
      <w:r>
        <w:rPr>
          <w:rFonts w:eastAsia="Tahoma" w:cs="Tahoma"/>
          <w:b/>
          <w:bCs/>
          <w:sz w:val="24"/>
          <w:szCs w:val="24"/>
        </w:rPr>
      </w:r>
    </w:p>
    <w:p>
      <w:pPr>
        <w:pStyle w:val="Normal"/>
        <w:numPr>
          <w:ilvl w:val="0"/>
          <w:numId w:val="6"/>
        </w:numPr>
        <w:tabs>
          <w:tab w:val="left" w:pos="908" w:leader="none"/>
          <w:tab w:val="left" w:pos="1900" w:leader="none"/>
        </w:tabs>
        <w:jc w:val="both"/>
        <w:rPr>
          <w:rFonts w:eastAsia="Tahoma" w:cs="Tahoma"/>
          <w:sz w:val="24"/>
          <w:szCs w:val="24"/>
        </w:rPr>
      </w:pPr>
      <w:r>
        <w:rPr>
          <w:rFonts w:eastAsia="Tahoma" w:cs="Tahoma"/>
          <w:sz w:val="24"/>
          <w:szCs w:val="24"/>
        </w:rPr>
        <w:t>di essere a conoscenza di tutti gli adempimenti derivanti dal D. Lgs. 9/04/2008 n. 81 e s.m.i., in  materia di sicurezza sul lavoro;</w:t>
      </w:r>
    </w:p>
    <w:p>
      <w:pPr>
        <w:pStyle w:val="Normal"/>
        <w:tabs>
          <w:tab w:val="left" w:pos="284" w:leader="none"/>
          <w:tab w:val="left" w:pos="1276" w:leader="none"/>
        </w:tabs>
        <w:jc w:val="left"/>
        <w:rPr>
          <w:rFonts w:eastAsia="Tahoma" w:cs="Tahoma" w:ascii="Garamond" w:hAnsi="Garamond"/>
          <w:sz w:val="24"/>
          <w:szCs w:val="24"/>
        </w:rPr>
      </w:pPr>
      <w:r>
        <w:rPr>
          <w:rFonts w:eastAsia="Tahoma" w:cs="Tahoma" w:ascii="Garamond" w:hAnsi="Garamond"/>
          <w:sz w:val="24"/>
          <w:szCs w:val="24"/>
        </w:rPr>
      </w:r>
    </w:p>
    <w:p>
      <w:pPr>
        <w:pStyle w:val="Normal"/>
        <w:widowControl w:val="false"/>
        <w:numPr>
          <w:ilvl w:val="0"/>
          <w:numId w:val="6"/>
        </w:numPr>
        <w:tabs>
          <w:tab w:val="left" w:pos="454" w:leader="none"/>
          <w:tab w:val="left" w:pos="1446" w:leader="none"/>
        </w:tabs>
        <w:spacing w:lineRule="auto" w:line="276"/>
        <w:jc w:val="both"/>
        <w:rPr>
          <w:rFonts w:eastAsia="Tahoma" w:cs="Tahoma"/>
          <w:sz w:val="24"/>
          <w:szCs w:val="24"/>
        </w:rPr>
      </w:pPr>
      <w:r>
        <w:rPr>
          <w:rFonts w:eastAsia="Tahoma" w:cs="Tahoma"/>
          <w:sz w:val="24"/>
          <w:szCs w:val="24"/>
        </w:rPr>
        <w:t>di accettare senza condizione o riserva alcuna tutte le norme e disposizioni contenute nella documentazione di gara;</w:t>
      </w:r>
    </w:p>
    <w:p>
      <w:pPr>
        <w:pStyle w:val="Normal"/>
        <w:widowControl w:val="false"/>
        <w:tabs>
          <w:tab w:val="left" w:pos="454" w:leader="none"/>
          <w:tab w:val="left" w:pos="1446" w:leader="none"/>
        </w:tabs>
        <w:spacing w:lineRule="auto" w:line="276"/>
        <w:ind w:left="720" w:right="0" w:hanging="0"/>
        <w:jc w:val="both"/>
        <w:rPr>
          <w:rFonts w:eastAsia="Tahoma" w:cs="Tahoma"/>
          <w:sz w:val="24"/>
          <w:szCs w:val="24"/>
        </w:rPr>
      </w:pPr>
      <w:r>
        <w:rPr>
          <w:rFonts w:eastAsia="Tahoma" w:cs="Tahoma"/>
          <w:sz w:val="24"/>
          <w:szCs w:val="24"/>
        </w:rPr>
      </w:r>
    </w:p>
    <w:p>
      <w:pPr>
        <w:pStyle w:val="Normal"/>
        <w:widowControl w:val="false"/>
        <w:numPr>
          <w:ilvl w:val="0"/>
          <w:numId w:val="6"/>
        </w:numPr>
        <w:tabs>
          <w:tab w:val="left" w:pos="454" w:leader="none"/>
          <w:tab w:val="left" w:pos="1446" w:leader="none"/>
        </w:tabs>
        <w:spacing w:lineRule="auto" w:line="276"/>
        <w:jc w:val="both"/>
        <w:rPr>
          <w:rFonts w:eastAsia="Tahoma" w:cs="Calibri Light" w:ascii="Garamond" w:hAnsi="Garamond"/>
          <w:color w:val="00000A"/>
          <w:sz w:val="24"/>
          <w:szCs w:val="24"/>
          <w:lang w:val="it-IT" w:eastAsia="zh-CN" w:bidi="ar-SA"/>
        </w:rPr>
      </w:pPr>
      <w:r>
        <w:rPr>
          <w:rFonts w:eastAsia="Tahoma" w:cs="Tahoma"/>
          <w:color w:val="00000A"/>
          <w:sz w:val="24"/>
          <w:szCs w:val="24"/>
          <w:lang w:val="it-IT" w:eastAsia="zh-CN" w:bidi="ar-SA"/>
        </w:rPr>
        <w:t>di accettare e impegnarsi ad eseguire l’appalto nei modi e nei termini stabiliti nel Capitolato Speciale</w:t>
      </w:r>
      <w:r>
        <w:rPr>
          <w:rFonts w:eastAsia="Tahoma" w:cs="Calibri Light" w:ascii="Garamond" w:hAnsi="Garamond"/>
          <w:color w:val="00000A"/>
          <w:sz w:val="24"/>
          <w:szCs w:val="24"/>
          <w:lang w:val="it-IT" w:eastAsia="zh-CN" w:bidi="ar-SA"/>
        </w:rPr>
        <w:t>;</w:t>
      </w:r>
    </w:p>
    <w:p>
      <w:pPr>
        <w:pStyle w:val="Normal"/>
        <w:widowControl w:val="false"/>
        <w:tabs>
          <w:tab w:val="left" w:pos="454" w:leader="none"/>
          <w:tab w:val="left" w:pos="1446" w:leader="none"/>
        </w:tabs>
        <w:spacing w:lineRule="auto" w:line="276"/>
        <w:ind w:left="720" w:right="0" w:hanging="0"/>
        <w:jc w:val="both"/>
        <w:rPr>
          <w:rFonts w:eastAsia="Tahoma" w:cs="Calibri Light" w:ascii="Garamond" w:hAnsi="Garamond"/>
          <w:color w:val="00000A"/>
          <w:sz w:val="24"/>
          <w:szCs w:val="24"/>
          <w:lang w:val="it-IT" w:eastAsia="zh-CN" w:bidi="ar-SA"/>
        </w:rPr>
      </w:pPr>
      <w:r>
        <w:rPr>
          <w:rFonts w:eastAsia="Tahoma" w:cs="Calibri Light" w:ascii="Garamond" w:hAnsi="Garamond"/>
          <w:color w:val="00000A"/>
          <w:sz w:val="24"/>
          <w:szCs w:val="24"/>
          <w:lang w:val="it-IT" w:eastAsia="zh-CN" w:bidi="ar-SA"/>
        </w:rPr>
      </w:r>
    </w:p>
    <w:p>
      <w:pPr>
        <w:pStyle w:val="Normal"/>
        <w:widowControl w:val="false"/>
        <w:numPr>
          <w:ilvl w:val="0"/>
          <w:numId w:val="6"/>
        </w:numPr>
        <w:tabs>
          <w:tab w:val="left" w:pos="908" w:leader="none"/>
          <w:tab w:val="left" w:pos="1900" w:leader="none"/>
        </w:tabs>
        <w:spacing w:lineRule="auto" w:line="276"/>
        <w:jc w:val="both"/>
        <w:rPr>
          <w:rFonts w:eastAsia="Tahoma" w:cs="Tahoma" w:ascii="Times" w:hAnsi="Times"/>
          <w:color w:val="00000A"/>
          <w:sz w:val="24"/>
          <w:szCs w:val="24"/>
          <w:lang w:val="it-IT" w:eastAsia="zh-CN" w:bidi="ar-SA"/>
        </w:rPr>
      </w:pPr>
      <w:r>
        <w:rPr>
          <w:rFonts w:eastAsia="Tahoma" w:cs="Tahoma" w:ascii="Times" w:hAnsi="Times"/>
          <w:color w:val="00000A"/>
          <w:sz w:val="24"/>
          <w:szCs w:val="24"/>
          <w:lang w:val="it-IT" w:eastAsia="zh-CN" w:bidi="ar-SA"/>
        </w:rPr>
        <w:t xml:space="preserve">di avere tenuto conto,  nel  formulare  la  propria offerta,  di  eventuali  maggiorazioni  per lievitazione  dei  prezzi  che  dovessero intervenire  durante l’esecuzione  della  concessione, rinunciando fin d’ora a qualsiasi azione o eccezione in merito; </w:t>
      </w:r>
    </w:p>
    <w:p>
      <w:pPr>
        <w:pStyle w:val="Normal"/>
        <w:widowControl w:val="false"/>
        <w:tabs>
          <w:tab w:val="left" w:pos="454" w:leader="none"/>
          <w:tab w:val="left" w:pos="1446" w:leader="none"/>
        </w:tabs>
        <w:spacing w:lineRule="auto" w:line="276"/>
        <w:ind w:left="454" w:right="0" w:hanging="0"/>
        <w:jc w:val="both"/>
        <w:rPr>
          <w:rFonts w:eastAsia="Tahoma" w:cs="Tahoma" w:ascii="Garamond" w:hAnsi="Garamond"/>
          <w:bCs/>
          <w:color w:val="00000A"/>
          <w:sz w:val="24"/>
          <w:szCs w:val="24"/>
          <w:lang w:val="it-IT" w:eastAsia="zh-CN" w:bidi="ar-SA"/>
        </w:rPr>
      </w:pPr>
      <w:r>
        <w:rPr>
          <w:rFonts w:eastAsia="Tahoma" w:cs="Tahoma" w:ascii="Garamond" w:hAnsi="Garamond"/>
          <w:bCs/>
          <w:color w:val="00000A"/>
          <w:sz w:val="24"/>
          <w:szCs w:val="24"/>
          <w:lang w:val="it-IT" w:eastAsia="zh-CN" w:bidi="ar-SA"/>
        </w:rPr>
      </w:r>
    </w:p>
    <w:p>
      <w:pPr>
        <w:pStyle w:val="Normal"/>
        <w:widowControl w:val="false"/>
        <w:numPr>
          <w:ilvl w:val="0"/>
          <w:numId w:val="6"/>
        </w:numPr>
        <w:spacing w:lineRule="auto" w:line="276"/>
        <w:jc w:val="both"/>
        <w:rPr>
          <w:rFonts w:eastAsia="Tahoma" w:cs="Tahoma"/>
          <w:sz w:val="24"/>
          <w:szCs w:val="24"/>
        </w:rPr>
      </w:pPr>
      <w:r>
        <w:rPr>
          <w:rFonts w:eastAsia="Tahoma" w:cs="Tahoma"/>
          <w:sz w:val="24"/>
          <w:szCs w:val="24"/>
        </w:rPr>
        <w:t>di giudicare remunerativa l’offerta economica presentata giacché per la sua formulazione ha preso atto e tenuto conto:</w:t>
      </w:r>
    </w:p>
    <w:p>
      <w:pPr>
        <w:pStyle w:val="Normal"/>
        <w:tabs>
          <w:tab w:val="left" w:pos="1645" w:leader="none"/>
          <w:tab w:val="left" w:pos="2637" w:leader="none"/>
        </w:tabs>
        <w:ind w:left="1361" w:right="0" w:hanging="227"/>
        <w:jc w:val="both"/>
        <w:rPr>
          <w:rFonts w:eastAsia="Tahoma" w:cs="Tahoma"/>
          <w:sz w:val="24"/>
          <w:szCs w:val="24"/>
        </w:rPr>
      </w:pPr>
      <w:r>
        <w:rPr>
          <w:rFonts w:eastAsia="Tahoma" w:cs="Tahoma"/>
          <w:sz w:val="24"/>
          <w:szCs w:val="24"/>
        </w:rPr>
        <w:t>a) delle condizioni contrattuali e degli oneri compresi quelli eventuali relativi in materia di sicurezza, di assicurazione, di condizioni di lavoro e di previdenza e assistenza in vigore nel luogo dove devono essere svolte le prestazioni;</w:t>
      </w:r>
    </w:p>
    <w:p>
      <w:pPr>
        <w:pStyle w:val="Normal"/>
        <w:tabs>
          <w:tab w:val="left" w:pos="454" w:leader="none"/>
          <w:tab w:val="left" w:pos="1446" w:leader="none"/>
        </w:tabs>
        <w:spacing w:lineRule="auto" w:line="360"/>
        <w:ind w:left="454" w:right="0" w:hanging="0"/>
        <w:jc w:val="both"/>
        <w:rPr>
          <w:sz w:val="24"/>
          <w:szCs w:val="24"/>
        </w:rPr>
      </w:pPr>
      <w:r>
        <w:rPr>
          <w:sz w:val="24"/>
          <w:szCs w:val="24"/>
        </w:rPr>
      </w:r>
    </w:p>
    <w:p>
      <w:pPr>
        <w:pStyle w:val="Normal"/>
        <w:tabs>
          <w:tab w:val="left" w:pos="1645" w:leader="none"/>
          <w:tab w:val="left" w:pos="2637" w:leader="none"/>
        </w:tabs>
        <w:ind w:left="1361" w:right="0" w:hanging="227"/>
        <w:jc w:val="both"/>
        <w:rPr>
          <w:rFonts w:eastAsia="Tahoma" w:cs="Calibri Light"/>
          <w:sz w:val="24"/>
          <w:szCs w:val="24"/>
        </w:rPr>
      </w:pPr>
      <w:r>
        <w:rPr>
          <w:rFonts w:eastAsia="Tahoma" w:cs="Tahoma"/>
          <w:sz w:val="24"/>
          <w:szCs w:val="24"/>
        </w:rPr>
        <w:t>b) di tutte le circostanze generali, particolari e locali, nessuna esclusa ed eccettuata, che possono avere influito o influire sia sull’esecuzione della prestazione, sia sulla determinazione della propria offerta</w:t>
      </w:r>
      <w:r>
        <w:rPr>
          <w:rFonts w:eastAsia="Tahoma" w:cs="Calibri Light"/>
          <w:sz w:val="24"/>
          <w:szCs w:val="24"/>
        </w:rPr>
        <w:t>;</w:t>
      </w:r>
    </w:p>
    <w:p>
      <w:pPr>
        <w:pStyle w:val="Normal"/>
        <w:widowControl w:val="false"/>
        <w:spacing w:lineRule="auto" w:line="276"/>
        <w:ind w:left="454" w:right="0" w:hanging="0"/>
        <w:jc w:val="both"/>
        <w:rPr>
          <w:sz w:val="24"/>
          <w:szCs w:val="24"/>
        </w:rPr>
      </w:pPr>
      <w:r>
        <w:rPr>
          <w:sz w:val="24"/>
          <w:szCs w:val="24"/>
        </w:rPr>
      </w:r>
    </w:p>
    <w:p>
      <w:pPr>
        <w:pStyle w:val="Normal"/>
        <w:widowControl w:val="false"/>
        <w:numPr>
          <w:ilvl w:val="0"/>
          <w:numId w:val="8"/>
        </w:numPr>
        <w:tabs>
          <w:tab w:val="left" w:pos="454" w:leader="none"/>
          <w:tab w:val="left" w:pos="1446" w:leader="none"/>
        </w:tabs>
        <w:spacing w:lineRule="auto" w:line="276"/>
        <w:jc w:val="both"/>
        <w:rPr>
          <w:rFonts w:eastAsia="Tahoma" w:cs="Tahoma"/>
          <w:b w:val="false"/>
          <w:bCs w:val="false"/>
          <w:sz w:val="24"/>
          <w:szCs w:val="24"/>
        </w:rPr>
      </w:pPr>
      <w:r>
        <w:rPr>
          <w:rFonts w:eastAsia="Tahoma" w:cs="Tahoma"/>
          <w:b w:val="false"/>
          <w:bCs w:val="false"/>
          <w:sz w:val="24"/>
          <w:szCs w:val="24"/>
        </w:rPr>
        <w:t xml:space="preserve">di obbligarsi  a dare  avvio  al servizio anche  in  pendenza  della  stipula  del  contratto, convenendo circa il fatto che la mancata esecuzione immediata della prestazione dedotta nella gara determinerebbe un danno al Comune Concedente, ai sensi dell’art. 32, comma 8 e 13, del D.Lgs. n. 50/2016. E’ fatto salvo l’eventuale diritto al rimborso delle spese sostenute per le prestazioni espletate ai sensi dell’art. 32, co. 8, del D. Lgs. n. 50/2016 e s.m.i.; </w:t>
      </w:r>
    </w:p>
    <w:p>
      <w:pPr>
        <w:pStyle w:val="Normal"/>
        <w:widowControl w:val="false"/>
        <w:spacing w:lineRule="auto" w:line="276"/>
        <w:ind w:left="454" w:right="0" w:hanging="0"/>
        <w:jc w:val="both"/>
        <w:rPr>
          <w:sz w:val="24"/>
          <w:szCs w:val="24"/>
        </w:rPr>
      </w:pPr>
      <w:r>
        <w:rPr>
          <w:sz w:val="24"/>
          <w:szCs w:val="24"/>
        </w:rPr>
      </w:r>
    </w:p>
    <w:p>
      <w:pPr>
        <w:pStyle w:val="Normal"/>
        <w:widowControl w:val="false"/>
        <w:numPr>
          <w:ilvl w:val="0"/>
          <w:numId w:val="8"/>
        </w:numPr>
        <w:tabs>
          <w:tab w:val="left" w:pos="454" w:leader="none"/>
          <w:tab w:val="left" w:pos="1446" w:leader="none"/>
        </w:tabs>
        <w:spacing w:lineRule="auto" w:line="276"/>
        <w:jc w:val="both"/>
        <w:rPr>
          <w:rFonts w:eastAsia="Tahoma" w:cs="Tahoma"/>
          <w:sz w:val="24"/>
          <w:szCs w:val="24"/>
        </w:rPr>
      </w:pPr>
      <w:r>
        <w:rPr>
          <w:rFonts w:eastAsia="Tahoma" w:cs="Tahoma"/>
          <w:sz w:val="24"/>
          <w:szCs w:val="24"/>
        </w:rPr>
        <w:t>di impegnarsi ad adempiere a tutti gli obblighi ed adempimenti di cui alla L. 136/2010;</w:t>
      </w:r>
    </w:p>
    <w:p>
      <w:pPr>
        <w:pStyle w:val="Normal"/>
        <w:widowControl w:val="false"/>
        <w:spacing w:lineRule="auto" w:line="276"/>
        <w:ind w:left="454" w:right="0" w:hanging="0"/>
        <w:jc w:val="both"/>
        <w:rPr>
          <w:sz w:val="24"/>
          <w:szCs w:val="24"/>
        </w:rPr>
      </w:pPr>
      <w:r>
        <w:rPr>
          <w:sz w:val="24"/>
          <w:szCs w:val="24"/>
        </w:rPr>
      </w:r>
    </w:p>
    <w:p>
      <w:pPr>
        <w:pStyle w:val="Normal"/>
        <w:widowControl w:val="false"/>
        <w:numPr>
          <w:ilvl w:val="0"/>
          <w:numId w:val="7"/>
        </w:numPr>
        <w:tabs>
          <w:tab w:val="left" w:pos="454" w:leader="none"/>
          <w:tab w:val="left" w:pos="966" w:leader="none"/>
        </w:tabs>
        <w:suppressAutoHyphens w:val="true"/>
        <w:bidi w:val="0"/>
        <w:spacing w:lineRule="auto" w:line="276"/>
        <w:ind w:left="964" w:right="0" w:hanging="360"/>
        <w:jc w:val="both"/>
        <w:textAlignment w:val="baseline"/>
        <w:rPr>
          <w:rFonts w:eastAsia="Tahoma" w:cs="Arial"/>
          <w:b w:val="false"/>
          <w:bCs w:val="false"/>
          <w:color w:val="00000A"/>
          <w:sz w:val="24"/>
          <w:szCs w:val="24"/>
          <w:lang w:val="it-IT" w:eastAsia="zh-CN" w:bidi="ar-SA"/>
        </w:rPr>
      </w:pPr>
      <w:r>
        <w:rPr>
          <w:rFonts w:eastAsia="Tahoma" w:cs="Arial"/>
          <w:b w:val="false"/>
          <w:bCs w:val="false"/>
          <w:color w:val="00000A"/>
          <w:sz w:val="24"/>
          <w:szCs w:val="24"/>
          <w:lang w:val="it-IT" w:eastAsia="zh-CN" w:bidi="ar-SA"/>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
        <w:widowControl w:val="false"/>
        <w:spacing w:lineRule="auto" w:line="276"/>
        <w:ind w:left="454" w:right="0" w:hanging="0"/>
        <w:jc w:val="both"/>
        <w:rPr>
          <w:sz w:val="24"/>
          <w:szCs w:val="24"/>
        </w:rPr>
      </w:pPr>
      <w:r>
        <w:rPr>
          <w:sz w:val="24"/>
          <w:szCs w:val="24"/>
        </w:rPr>
      </w:r>
    </w:p>
    <w:p>
      <w:pPr>
        <w:pStyle w:val="Normal"/>
        <w:widowControl w:val="false"/>
        <w:numPr>
          <w:ilvl w:val="0"/>
          <w:numId w:val="7"/>
        </w:numPr>
        <w:tabs>
          <w:tab w:val="left" w:pos="1163" w:leader="none"/>
        </w:tabs>
        <w:suppressAutoHyphens w:val="true"/>
        <w:bidi w:val="0"/>
        <w:spacing w:lineRule="auto" w:line="276"/>
        <w:ind w:left="964" w:right="0" w:hanging="360"/>
        <w:jc w:val="both"/>
        <w:textAlignment w:val="baseline"/>
        <w:rPr>
          <w:sz w:val="24"/>
          <w:szCs w:val="24"/>
        </w:rPr>
      </w:pPr>
      <w:r>
        <w:rPr>
          <w:sz w:val="24"/>
          <w:szCs w:val="24"/>
        </w:rPr>
        <w:t>di non aver concluso contratti di lavoro subordinato o autonomo e comunque di non aver attribuito incarichi ad ex dipendenti o incaricati del Comune committente che hanno esercitato poteri autoritativi o negoziali, per conto del Comune medesimo, per il triennio successivo alla cessazione del rapporto.</w:t>
      </w:r>
    </w:p>
    <w:p>
      <w:pPr>
        <w:pStyle w:val="Normal"/>
        <w:widowControl w:val="false"/>
        <w:tabs>
          <w:tab w:val="left" w:pos="454" w:leader="none"/>
          <w:tab w:val="left" w:pos="1446" w:leader="none"/>
        </w:tabs>
        <w:spacing w:lineRule="auto" w:line="276"/>
        <w:ind w:left="454" w:right="0" w:hanging="0"/>
        <w:jc w:val="left"/>
        <w:rPr>
          <w:rFonts w:eastAsia="Tahoma" w:cs="Tahoma"/>
          <w:b/>
          <w:bCs/>
          <w:strike w:val="false"/>
          <w:dstrike w:val="false"/>
          <w:sz w:val="24"/>
          <w:szCs w:val="24"/>
        </w:rPr>
      </w:pPr>
      <w:r>
        <w:rPr>
          <w:rFonts w:eastAsia="Tahoma" w:cs="Tahoma"/>
          <w:b/>
          <w:bCs/>
          <w:strike w:val="false"/>
          <w:dstrike w:val="false"/>
          <w:sz w:val="24"/>
          <w:szCs w:val="24"/>
        </w:rPr>
      </w:r>
    </w:p>
    <w:p>
      <w:pPr>
        <w:pStyle w:val="Normal"/>
        <w:widowControl w:val="false"/>
        <w:numPr>
          <w:ilvl w:val="0"/>
          <w:numId w:val="7"/>
        </w:numPr>
        <w:tabs>
          <w:tab w:val="left" w:pos="454" w:leader="none"/>
          <w:tab w:val="left" w:pos="1022" w:leader="none"/>
          <w:tab w:val="left" w:pos="1446" w:leader="none"/>
        </w:tabs>
        <w:suppressAutoHyphens w:val="true"/>
        <w:bidi w:val="0"/>
        <w:spacing w:lineRule="auto" w:line="276"/>
        <w:ind w:left="964" w:right="0" w:hanging="360"/>
        <w:jc w:val="both"/>
        <w:textAlignment w:val="baseline"/>
        <w:rPr>
          <w:rFonts w:eastAsia="Tahoma" w:cs="Calibri Light"/>
          <w:strike w:val="false"/>
          <w:dstrike w:val="false"/>
          <w:sz w:val="24"/>
          <w:szCs w:val="24"/>
        </w:rPr>
      </w:pPr>
      <w:r>
        <w:rPr>
          <w:rFonts w:eastAsia="Tahoma" w:cs="Tahoma"/>
          <w:strike w:val="false"/>
          <w:dstrike w:val="false"/>
          <w:sz w:val="24"/>
          <w:szCs w:val="24"/>
        </w:rPr>
        <w:t>di essere edotto degli obblighi derivanti dal codice di comportamento di cui al D.P.R. n. 62/2013, come recepito ed integrato dall'Amministrazione Committente con deliberazione di Giunta del Comune di Rubiera n. 181 del 28 dicembre 2013, reperibile sul sito internet istituzionale dell’Ente alla sezione Amministrazione trasparente-Disposizioni generali-Atti generali-Codice di comportamento dell’Ente e si impegna, in caso di aggiudicazione, ad osservare ed a far osservare ai propri dipendenti e collaboratori il suddetto codice, pena la risoluzione del contratto</w:t>
      </w:r>
      <w:r>
        <w:rPr>
          <w:rFonts w:eastAsia="Tahoma" w:cs="Calibri Light"/>
          <w:strike w:val="false"/>
          <w:dstrike w:val="false"/>
          <w:sz w:val="24"/>
          <w:szCs w:val="24"/>
        </w:rPr>
        <w:t>;</w:t>
      </w:r>
    </w:p>
    <w:p>
      <w:pPr>
        <w:pStyle w:val="Normal"/>
        <w:widowControl w:val="false"/>
        <w:tabs>
          <w:tab w:val="left" w:pos="454" w:leader="none"/>
          <w:tab w:val="left" w:pos="1446" w:leader="none"/>
        </w:tabs>
        <w:spacing w:lineRule="auto" w:line="276"/>
        <w:ind w:left="454" w:right="0" w:hanging="0"/>
        <w:jc w:val="both"/>
        <w:rPr>
          <w:strike/>
          <w:sz w:val="24"/>
          <w:szCs w:val="24"/>
        </w:rPr>
      </w:pPr>
      <w:r>
        <w:rPr>
          <w:strike/>
          <w:sz w:val="24"/>
          <w:szCs w:val="24"/>
        </w:rPr>
      </w:r>
    </w:p>
    <w:p>
      <w:pPr>
        <w:pStyle w:val="Normal"/>
        <w:keepNext/>
        <w:widowControl/>
        <w:numPr>
          <w:ilvl w:val="0"/>
          <w:numId w:val="7"/>
        </w:numPr>
        <w:tabs>
          <w:tab w:val="left" w:pos="1144" w:leader="none"/>
        </w:tabs>
        <w:suppressAutoHyphens w:val="true"/>
        <w:bidi w:val="0"/>
        <w:spacing w:before="120" w:after="60"/>
        <w:ind w:left="964" w:right="0" w:hanging="360"/>
        <w:jc w:val="both"/>
        <w:textAlignment w:val="baseline"/>
        <w:rPr>
          <w:rFonts w:eastAsia="Tahoma" w:cs="Tahoma"/>
          <w:bCs/>
          <w:sz w:val="24"/>
          <w:szCs w:val="24"/>
        </w:rPr>
      </w:pPr>
      <w:r>
        <w:rPr>
          <w:rFonts w:eastAsia="Tahoma" w:cs="Tahoma"/>
          <w:b/>
          <w:bCs/>
          <w:sz w:val="24"/>
          <w:szCs w:val="24"/>
        </w:rPr>
        <w:t>[Per gli operatori economici non residenti e privi di stabile organizzazione in Italia]</w:t>
      </w:r>
      <w:r>
        <w:rPr>
          <w:rFonts w:eastAsia="Tahoma" w:cs="Tahoma"/>
          <w:b w:val="false"/>
          <w:bCs w:val="false"/>
          <w:sz w:val="24"/>
          <w:szCs w:val="24"/>
        </w:rPr>
        <w:t xml:space="preserve"> d</w:t>
      </w:r>
      <w:r>
        <w:rPr>
          <w:rFonts w:cs="Calibri"/>
          <w:b w:val="false"/>
          <w:bCs w:val="false"/>
          <w:sz w:val="24"/>
          <w:szCs w:val="24"/>
        </w:rPr>
        <w:t>i</w:t>
      </w:r>
      <w:r>
        <w:rPr>
          <w:rFonts w:cs="Calibri"/>
          <w:sz w:val="24"/>
          <w:szCs w:val="24"/>
        </w:rPr>
        <w:t xml:space="preserve"> impegnarsi ad </w:t>
      </w:r>
      <w:r>
        <w:rPr>
          <w:rFonts w:cs="Arial"/>
          <w:sz w:val="24"/>
          <w:szCs w:val="24"/>
        </w:rPr>
        <w:t>uniformarsi, in caso di aggiudicazione, alla disciplina di cui agli articoli 17, comma 2, e 53, comma 3 del d.p.r. 633/1972 e a comunicare alla stazione appaltante la nomina del proprio rappresentante fiscale, nelle forme di legge</w:t>
      </w:r>
      <w:r>
        <w:rPr>
          <w:rFonts w:eastAsia="Tahoma" w:cs="Tahoma"/>
          <w:bCs/>
          <w:sz w:val="24"/>
          <w:szCs w:val="24"/>
        </w:rPr>
        <w:t>;</w:t>
      </w:r>
    </w:p>
    <w:p>
      <w:pPr>
        <w:pStyle w:val="Normal"/>
        <w:widowControl w:val="false"/>
        <w:tabs>
          <w:tab w:val="left" w:pos="-15954" w:leader="none"/>
          <w:tab w:val="left" w:pos="-14962" w:leader="none"/>
        </w:tabs>
        <w:ind w:left="850" w:right="0" w:hanging="0"/>
        <w:jc w:val="both"/>
        <w:rPr>
          <w:rFonts w:eastAsia="Tahoma" w:cs="Tahoma"/>
          <w:b/>
          <w:sz w:val="24"/>
          <w:szCs w:val="24"/>
          <w:u w:val="single"/>
        </w:rPr>
      </w:pPr>
      <w:r>
        <w:rPr>
          <w:rFonts w:eastAsia="Tahoma" w:cs="Tahoma"/>
          <w:b/>
          <w:sz w:val="24"/>
          <w:szCs w:val="24"/>
          <w:u w:val="single"/>
        </w:rPr>
      </w:r>
    </w:p>
    <w:p>
      <w:pPr>
        <w:pStyle w:val="Normal"/>
        <w:widowControl w:val="false"/>
        <w:numPr>
          <w:ilvl w:val="0"/>
          <w:numId w:val="7"/>
        </w:numPr>
        <w:tabs>
          <w:tab w:val="left" w:pos="454" w:leader="none"/>
          <w:tab w:val="left" w:pos="1159" w:leader="none"/>
          <w:tab w:val="left" w:pos="1446" w:leader="none"/>
        </w:tabs>
        <w:suppressAutoHyphens w:val="true"/>
        <w:bidi w:val="0"/>
        <w:ind w:left="964" w:right="0" w:hanging="360"/>
        <w:jc w:val="both"/>
        <w:textAlignment w:val="baseline"/>
        <w:rPr>
          <w:rFonts w:eastAsia="Tahoma" w:cs="Tahoma"/>
          <w:sz w:val="24"/>
          <w:szCs w:val="24"/>
        </w:rPr>
      </w:pPr>
      <w:r>
        <w:rPr>
          <w:sz w:val="24"/>
          <w:szCs w:val="24"/>
        </w:rPr>
        <w:t>[</w:t>
      </w:r>
      <w:r>
        <w:rPr>
          <w:b/>
          <w:sz w:val="24"/>
          <w:szCs w:val="24"/>
        </w:rPr>
        <w:t>solo per gli operatori economici ammessi al concordato preventivo con continuità aziendale di cui all’art. 186 bis del R.D. 16 marzo 1942, n. 267</w:t>
      </w:r>
      <w:r>
        <w:rPr>
          <w:sz w:val="24"/>
          <w:szCs w:val="24"/>
        </w:rPr>
        <w:t>] indica, ad integrazione di quanto indicato nella parte III, sez. C, lett. d) del DGUE, i seguenti estremi del provvedimento di ammissione al concordato e del provvedimento di autorizzazione a partecipare alle gare_____________________</w:t>
      </w:r>
      <w:r>
        <w:rPr>
          <w:rFonts w:eastAsia="Tahoma" w:cs="Tahoma"/>
          <w:b/>
          <w:sz w:val="24"/>
          <w:szCs w:val="24"/>
        </w:rPr>
        <w:t xml:space="preserve"> </w:t>
      </w:r>
      <w:r>
        <w:rPr>
          <w:rFonts w:eastAsia="Tahoma" w:cs="Tahoma"/>
          <w:sz w:val="24"/>
          <w:szCs w:val="24"/>
        </w:rPr>
        <w:t xml:space="preserve">rilasciati dal Tribunale di _______________________________ nonché dichiara di non partecipare alla gara quale mandataria di un raggruppamento temporaneo di imprese e che le altre imprese aderenti al raggruppamento non sono assoggettate ad una procedura concorsuale ai sensi dell’art. 186 </w:t>
      </w:r>
      <w:r>
        <w:rPr>
          <w:rFonts w:eastAsia="Tahoma" w:cs="Tahoma"/>
          <w:i/>
          <w:iCs/>
          <w:sz w:val="24"/>
          <w:szCs w:val="24"/>
        </w:rPr>
        <w:t>bis</w:t>
      </w:r>
      <w:r>
        <w:rPr>
          <w:rFonts w:eastAsia="Tahoma" w:cs="Tahoma"/>
          <w:sz w:val="24"/>
          <w:szCs w:val="24"/>
        </w:rPr>
        <w:t>, comma 6, del R.D. 16 marzo 1942, n. 267:        SI            NO          Non applicabile</w:t>
      </w:r>
    </w:p>
    <w:p>
      <w:pPr>
        <w:pStyle w:val="Normal"/>
        <w:widowControl w:val="false"/>
        <w:tabs>
          <w:tab w:val="left" w:pos="454" w:leader="none"/>
          <w:tab w:val="left" w:pos="1446" w:leader="none"/>
        </w:tabs>
        <w:spacing w:lineRule="auto" w:line="276"/>
        <w:ind w:left="454" w:right="0" w:hanging="0"/>
        <w:jc w:val="both"/>
        <w:rPr>
          <w:sz w:val="24"/>
          <w:szCs w:val="24"/>
        </w:rPr>
      </w:pPr>
      <w:r>
        <w:rPr>
          <w:sz w:val="24"/>
          <w:szCs w:val="24"/>
        </w:rPr>
      </w:r>
    </w:p>
    <w:p>
      <w:pPr>
        <w:pStyle w:val="Normal"/>
        <w:widowControl w:val="false"/>
        <w:numPr>
          <w:ilvl w:val="0"/>
          <w:numId w:val="7"/>
        </w:numPr>
        <w:tabs>
          <w:tab w:val="left" w:pos="454" w:leader="none"/>
          <w:tab w:val="left" w:pos="1446" w:leader="none"/>
        </w:tabs>
        <w:spacing w:lineRule="auto" w:line="276"/>
        <w:jc w:val="both"/>
        <w:rPr>
          <w:rFonts w:cs="Arial"/>
          <w:sz w:val="24"/>
          <w:szCs w:val="24"/>
        </w:rPr>
      </w:pPr>
      <w:r>
        <w:rPr>
          <w:rFonts w:cs="Arial"/>
          <w:sz w:val="24"/>
          <w:szCs w:val="24"/>
        </w:rPr>
        <w:t>qualora un partecipante eserciti la facoltà di “</w:t>
      </w:r>
      <w:r>
        <w:rPr>
          <w:rFonts w:cs="Arial"/>
          <w:b/>
          <w:sz w:val="24"/>
          <w:szCs w:val="24"/>
        </w:rPr>
        <w:t>accesso agli atti</w:t>
      </w:r>
      <w:r>
        <w:rPr>
          <w:rFonts w:cs="Arial"/>
          <w:sz w:val="24"/>
          <w:szCs w:val="24"/>
        </w:rPr>
        <w:t>”:</w:t>
      </w:r>
    </w:p>
    <w:p>
      <w:pPr>
        <w:pStyle w:val="Normal"/>
        <w:widowControl w:val="false"/>
        <w:numPr>
          <w:ilvl w:val="0"/>
          <w:numId w:val="4"/>
        </w:numPr>
        <w:tabs>
          <w:tab w:val="left" w:pos="454" w:leader="none"/>
          <w:tab w:val="left" w:pos="1446" w:leader="none"/>
        </w:tabs>
        <w:suppressAutoHyphens w:val="true"/>
        <w:bidi w:val="0"/>
        <w:spacing w:lineRule="auto" w:line="276"/>
        <w:ind w:left="1417" w:right="0" w:hanging="360"/>
        <w:jc w:val="both"/>
        <w:textAlignment w:val="baseline"/>
        <w:rPr>
          <w:rFonts w:eastAsia="Tahoma" w:cs="Calibri Light"/>
          <w:sz w:val="24"/>
          <w:szCs w:val="24"/>
        </w:rPr>
      </w:pPr>
      <w:r>
        <w:rPr>
          <w:rFonts w:eastAsia="Tahoma" w:cs="Tahoma"/>
          <w:sz w:val="24"/>
          <w:szCs w:val="24"/>
        </w:rPr>
        <w:t xml:space="preserve">di autorizzare la stazione appaltante a rilasciare copia di tutta la documentazione presentata per la partecipazione alla procedura in oggetto, ivi compresa l’offerta tecnica e le spiegazioni che saranno eventualmente presentate in sede di verifica delle offerte anomale:  </w:t>
      </w:r>
      <w:r>
        <w:rPr>
          <w:rFonts w:eastAsia="Tahoma" w:cs="Calibri Light"/>
          <w:sz w:val="24"/>
          <w:szCs w:val="24"/>
        </w:rPr>
        <w:t xml:space="preserve">   SI          NO</w:t>
      </w:r>
    </w:p>
    <w:p>
      <w:pPr>
        <w:pStyle w:val="Normal"/>
        <w:widowControl w:val="false"/>
        <w:tabs>
          <w:tab w:val="left" w:pos="454" w:leader="none"/>
          <w:tab w:val="left" w:pos="1446" w:leader="none"/>
        </w:tabs>
        <w:spacing w:lineRule="auto" w:line="276"/>
        <w:ind w:left="1080" w:right="0" w:hanging="0"/>
        <w:jc w:val="center"/>
        <w:rPr>
          <w:rFonts w:cs="Arial"/>
          <w:sz w:val="24"/>
          <w:szCs w:val="24"/>
        </w:rPr>
      </w:pPr>
      <w:r>
        <w:rPr>
          <w:rFonts w:cs="Arial"/>
          <w:sz w:val="24"/>
          <w:szCs w:val="24"/>
        </w:rPr>
        <w:t>(ovvero)</w:t>
      </w:r>
    </w:p>
    <w:p>
      <w:pPr>
        <w:pStyle w:val="Normal"/>
        <w:widowControl w:val="false"/>
        <w:numPr>
          <w:ilvl w:val="0"/>
          <w:numId w:val="3"/>
        </w:numPr>
        <w:tabs>
          <w:tab w:val="left" w:pos="454" w:leader="none"/>
          <w:tab w:val="left" w:pos="1446" w:leader="none"/>
        </w:tabs>
        <w:suppressAutoHyphens w:val="true"/>
        <w:bidi w:val="0"/>
        <w:spacing w:lineRule="auto" w:line="276"/>
        <w:ind w:left="1361" w:right="0" w:hanging="360"/>
        <w:jc w:val="both"/>
        <w:textAlignment w:val="baseline"/>
        <w:rPr>
          <w:rFonts w:eastAsia="Tahoma" w:cs="Calibri Light"/>
          <w:sz w:val="24"/>
          <w:szCs w:val="24"/>
        </w:rPr>
      </w:pPr>
      <w:r>
        <w:rPr>
          <w:rFonts w:eastAsia="Tahoma" w:cs="Tahoma"/>
          <w:sz w:val="24"/>
          <w:szCs w:val="24"/>
        </w:rPr>
        <w:t xml:space="preserve">di non autorizzare la stazione appaltante a rilasciare copia dell’offerta tecnica e delle spiegazioni che saranno eventualmente richieste in sede di verifica delle offerte anomale, in quanto coperte da segreto tecnico/commerciale. A tal fine allega una dichiarazione denominata “Segreti tecnici e commerciali” che dovrà essere adeguatamente motivata e comprovata ai sensi dell’art. 53, comma 5, lett. a), del Codice:       SI            NO   </w:t>
      </w:r>
      <w:r>
        <w:rPr>
          <w:rFonts w:eastAsia="Tahoma" w:cs="Calibri Light"/>
          <w:sz w:val="24"/>
          <w:szCs w:val="24"/>
        </w:rPr>
        <w:t xml:space="preserve">   </w:t>
      </w:r>
    </w:p>
    <w:p>
      <w:pPr>
        <w:pStyle w:val="Normal"/>
        <w:widowControl w:val="false"/>
        <w:spacing w:lineRule="auto" w:line="276"/>
        <w:ind w:left="454" w:right="0" w:hanging="0"/>
        <w:jc w:val="both"/>
        <w:rPr>
          <w:sz w:val="24"/>
          <w:szCs w:val="24"/>
        </w:rPr>
      </w:pPr>
      <w:r>
        <w:rPr>
          <w:sz w:val="24"/>
          <w:szCs w:val="24"/>
        </w:rPr>
      </w:r>
    </w:p>
    <w:p>
      <w:pPr>
        <w:pStyle w:val="Normal"/>
        <w:widowControl w:val="false"/>
        <w:spacing w:lineRule="auto" w:line="276"/>
        <w:ind w:left="454" w:right="0" w:hanging="0"/>
        <w:jc w:val="both"/>
        <w:rPr>
          <w:sz w:val="24"/>
          <w:szCs w:val="24"/>
        </w:rPr>
      </w:pPr>
      <w:r>
        <w:rPr>
          <w:sz w:val="24"/>
          <w:szCs w:val="24"/>
        </w:rPr>
      </w:r>
    </w:p>
    <w:p>
      <w:pPr>
        <w:pStyle w:val="Normal"/>
        <w:widowControl w:val="false"/>
        <w:numPr>
          <w:ilvl w:val="0"/>
          <w:numId w:val="9"/>
        </w:numPr>
        <w:tabs>
          <w:tab w:val="left" w:pos="454" w:leader="none"/>
          <w:tab w:val="left" w:pos="1446" w:leader="none"/>
        </w:tabs>
        <w:spacing w:lineRule="auto" w:line="276"/>
        <w:jc w:val="both"/>
        <w:rPr>
          <w:rFonts w:eastAsia="Tahoma" w:cs="Calibri Light"/>
          <w:bCs/>
          <w:sz w:val="24"/>
          <w:szCs w:val="24"/>
        </w:rPr>
      </w:pPr>
      <w:r>
        <w:rPr>
          <w:rFonts w:eastAsia="Tahoma" w:cs="Tahoma"/>
          <w:bCs/>
          <w:sz w:val="24"/>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r>
        <w:rPr>
          <w:rFonts w:eastAsia="Tahoma" w:cs="Calibri Light"/>
          <w:bCs/>
          <w:sz w:val="24"/>
          <w:szCs w:val="24"/>
        </w:rPr>
        <w:t>;</w:t>
      </w:r>
    </w:p>
    <w:p>
      <w:pPr>
        <w:pStyle w:val="Normal"/>
        <w:widowControl w:val="false"/>
        <w:tabs>
          <w:tab w:val="left" w:pos="454" w:leader="none"/>
          <w:tab w:val="left" w:pos="1446" w:leader="none"/>
        </w:tabs>
        <w:ind w:left="1174" w:right="0" w:hanging="0"/>
        <w:jc w:val="both"/>
        <w:rPr>
          <w:rFonts w:eastAsia="Tahoma" w:cs="Tahoma"/>
          <w:bCs/>
          <w:sz w:val="24"/>
          <w:szCs w:val="24"/>
        </w:rPr>
      </w:pPr>
      <w:r>
        <w:rPr>
          <w:rFonts w:eastAsia="Tahoma" w:cs="Tahoma"/>
          <w:bCs/>
          <w:sz w:val="24"/>
          <w:szCs w:val="24"/>
        </w:rPr>
      </w:r>
    </w:p>
    <w:p>
      <w:pPr>
        <w:pStyle w:val="Normal"/>
        <w:widowControl w:val="false"/>
        <w:numPr>
          <w:ilvl w:val="0"/>
          <w:numId w:val="9"/>
        </w:numPr>
        <w:tabs>
          <w:tab w:val="left" w:pos="454" w:leader="none"/>
          <w:tab w:val="left" w:pos="1446" w:leader="none"/>
        </w:tabs>
        <w:jc w:val="both"/>
        <w:rPr>
          <w:rFonts w:eastAsia="Tahoma" w:cs="Tahoma"/>
          <w:bCs/>
          <w:sz w:val="24"/>
          <w:szCs w:val="24"/>
        </w:rPr>
      </w:pPr>
      <w:r>
        <w:rPr>
          <w:rFonts w:eastAsia="Tahoma" w:cs="Tahoma"/>
          <w:bCs/>
          <w:sz w:val="24"/>
          <w:szCs w:val="24"/>
        </w:rPr>
        <w:t>di non aver violato l’art. 5, comma 2, lett. c), l. 15 dicembre 1990, n. 386 (“Nuova disciplina sanzionatoria degli assegni bancari”)</w:t>
      </w:r>
    </w:p>
    <w:p>
      <w:pPr>
        <w:pStyle w:val="Normal"/>
        <w:widowControl w:val="false"/>
        <w:spacing w:lineRule="auto" w:line="276"/>
        <w:ind w:left="1174" w:right="0" w:hanging="0"/>
        <w:jc w:val="both"/>
        <w:rPr>
          <w:b/>
          <w:sz w:val="24"/>
          <w:szCs w:val="24"/>
        </w:rPr>
      </w:pPr>
      <w:r>
        <w:rPr>
          <w:b/>
          <w:sz w:val="24"/>
          <w:szCs w:val="24"/>
        </w:rPr>
      </w:r>
    </w:p>
    <w:p>
      <w:pPr>
        <w:pStyle w:val="Normal"/>
        <w:widowControl w:val="false"/>
        <w:numPr>
          <w:ilvl w:val="0"/>
          <w:numId w:val="9"/>
        </w:numPr>
        <w:tabs>
          <w:tab w:val="left" w:pos="454" w:leader="none"/>
          <w:tab w:val="left" w:pos="1446" w:leader="none"/>
        </w:tabs>
        <w:jc w:val="both"/>
        <w:rPr>
          <w:rFonts w:eastAsia="Tahoma" w:cs="Tahoma"/>
          <w:bCs/>
          <w:sz w:val="24"/>
          <w:szCs w:val="24"/>
        </w:rPr>
      </w:pPr>
      <w:r>
        <w:rPr>
          <w:rFonts w:eastAsia="Tahoma" w:cs="Tahoma"/>
          <w:bCs/>
          <w:sz w:val="24"/>
          <w:szCs w:val="24"/>
        </w:rPr>
        <w:t>indica i seguenti dati: domicilio fiscale ______________________________________; codice fiscale ________________, partita IVA ________________ PEC________________</w:t>
      </w:r>
    </w:p>
    <w:p>
      <w:pPr>
        <w:pStyle w:val="Normal"/>
        <w:widowControl w:val="false"/>
        <w:tabs>
          <w:tab w:val="left" w:pos="454" w:leader="none"/>
          <w:tab w:val="left" w:pos="1446" w:leader="none"/>
        </w:tabs>
        <w:suppressAutoHyphens w:val="true"/>
        <w:bidi w:val="0"/>
        <w:ind w:left="1191" w:right="0" w:hanging="0"/>
        <w:jc w:val="both"/>
        <w:textAlignment w:val="baseline"/>
        <w:rPr>
          <w:rFonts w:eastAsia="Tahoma" w:cs="Tahoma"/>
          <w:bCs/>
          <w:sz w:val="24"/>
          <w:szCs w:val="24"/>
        </w:rPr>
      </w:pPr>
      <w:r>
        <w:rPr>
          <w:rFonts w:eastAsia="Tahoma" w:cs="Tahoma"/>
          <w:bCs/>
          <w:sz w:val="24"/>
          <w:szCs w:val="24"/>
        </w:rPr>
        <w:t>oppure, solo in caso di concorrenti aventi sede in altri Stati membri, l’indirizzo di posta elettronica ___________________________________ ai fini delle comunicazioni di cui all’art. 76, comma 5 del Codice:</w:t>
      </w:r>
    </w:p>
    <w:p>
      <w:pPr>
        <w:pStyle w:val="Normal"/>
        <w:widowControl w:val="false"/>
        <w:spacing w:lineRule="auto" w:line="276"/>
        <w:ind w:left="1174" w:right="0" w:hanging="0"/>
        <w:jc w:val="both"/>
        <w:rPr>
          <w:b/>
          <w:sz w:val="24"/>
          <w:szCs w:val="24"/>
        </w:rPr>
      </w:pPr>
      <w:r>
        <w:rPr>
          <w:b/>
          <w:sz w:val="24"/>
          <w:szCs w:val="24"/>
        </w:rPr>
      </w:r>
    </w:p>
    <w:p>
      <w:pPr>
        <w:pStyle w:val="Normal"/>
        <w:widowControl w:val="false"/>
        <w:numPr>
          <w:ilvl w:val="0"/>
          <w:numId w:val="9"/>
        </w:numPr>
        <w:tabs>
          <w:tab w:val="left" w:pos="454" w:leader="none"/>
          <w:tab w:val="left" w:pos="1446" w:leader="none"/>
        </w:tabs>
        <w:spacing w:lineRule="auto" w:line="276"/>
        <w:jc w:val="both"/>
        <w:rPr>
          <w:rFonts w:cs="Arial"/>
          <w:sz w:val="24"/>
          <w:szCs w:val="24"/>
        </w:rPr>
      </w:pPr>
      <w:r>
        <w:rPr>
          <w:rFonts w:cs="Arial"/>
          <w:sz w:val="24"/>
          <w:szCs w:val="24"/>
        </w:rPr>
        <w:t xml:space="preserve">di essere informato, </w:t>
      </w:r>
      <w:r>
        <w:rPr>
          <w:rFonts w:eastAsia="Tahoma" w:cs="Tahoma"/>
          <w:bCs/>
          <w:sz w:val="24"/>
          <w:szCs w:val="24"/>
        </w:rPr>
        <w:t xml:space="preserve">ai sensi dell’art. 13 del Regolamento Europeo n. 679/2016 </w:t>
      </w:r>
      <w:r>
        <w:rPr>
          <w:rFonts w:cs="Arial"/>
          <w:sz w:val="24"/>
          <w:szCs w:val="24"/>
        </w:rPr>
        <w:t>che i dati personali raccolti saranno trattati, anche con strumenti informatici, esclusivamente nell’ambito della presente gara, nonché dell’esistenza dei diritti di cui al medesimo Regolamento.</w:t>
      </w:r>
    </w:p>
    <w:p>
      <w:pPr>
        <w:pStyle w:val="Normal"/>
        <w:tabs>
          <w:tab w:val="left" w:pos="454" w:leader="none"/>
          <w:tab w:val="left" w:pos="1446" w:leader="none"/>
        </w:tabs>
        <w:spacing w:lineRule="auto" w:line="276"/>
        <w:ind w:left="454" w:right="0" w:hanging="0"/>
        <w:jc w:val="both"/>
        <w:rPr>
          <w:sz w:val="24"/>
          <w:szCs w:val="24"/>
        </w:rPr>
      </w:pPr>
      <w:r>
        <w:rPr>
          <w:sz w:val="24"/>
          <w:szCs w:val="24"/>
        </w:rPr>
      </w:r>
    </w:p>
    <w:p>
      <w:pPr>
        <w:pStyle w:val="Normal"/>
        <w:widowControl w:val="false"/>
        <w:tabs>
          <w:tab w:val="left" w:pos="454" w:leader="none"/>
          <w:tab w:val="left" w:pos="1446" w:leader="none"/>
        </w:tabs>
        <w:spacing w:lineRule="auto" w:line="276"/>
        <w:ind w:left="454" w:right="0" w:hanging="0"/>
        <w:jc w:val="both"/>
        <w:rPr>
          <w:rFonts w:cs="Tahoma"/>
          <w:sz w:val="24"/>
          <w:szCs w:val="24"/>
        </w:rPr>
      </w:pPr>
      <w:r>
        <w:rPr>
          <w:rFonts w:cs="Tahoma"/>
          <w:sz w:val="24"/>
          <w:szCs w:val="24"/>
        </w:rPr>
      </w:r>
    </w:p>
    <w:p>
      <w:pPr>
        <w:pStyle w:val="Normal"/>
        <w:widowControl/>
        <w:tabs>
          <w:tab w:val="left" w:pos="0" w:leader="none"/>
        </w:tabs>
        <w:jc w:val="center"/>
        <w:rPr>
          <w:rFonts w:cs="Tahoma"/>
          <w:sz w:val="24"/>
          <w:szCs w:val="24"/>
        </w:rPr>
      </w:pPr>
      <w:r>
        <w:rPr>
          <w:rFonts w:cs="Tahoma"/>
          <w:sz w:val="24"/>
          <w:szCs w:val="24"/>
        </w:rPr>
        <w:tab/>
        <w:tab/>
        <w:tab/>
        <w:tab/>
        <w:tab/>
        <w:tab/>
      </w:r>
    </w:p>
    <w:p>
      <w:pPr>
        <w:pStyle w:val="Normal"/>
        <w:widowControl/>
        <w:tabs>
          <w:tab w:val="left" w:pos="0" w:leader="none"/>
        </w:tabs>
        <w:spacing w:lineRule="auto" w:line="360"/>
        <w:jc w:val="right"/>
        <w:rPr>
          <w:rFonts w:cs="Tahoma"/>
          <w:sz w:val="20"/>
          <w:szCs w:val="20"/>
        </w:rPr>
      </w:pPr>
      <w:r>
        <w:rPr>
          <w:rFonts w:cs="Tahoma"/>
          <w:sz w:val="20"/>
          <w:szCs w:val="20"/>
        </w:rPr>
      </w:r>
    </w:p>
    <w:p>
      <w:pPr>
        <w:pStyle w:val="Normal"/>
        <w:tabs>
          <w:tab w:val="left" w:pos="0" w:leader="none"/>
        </w:tabs>
        <w:jc w:val="center"/>
        <w:rPr/>
      </w:pPr>
      <w:r>
        <w:rPr/>
        <w:t xml:space="preserve">          </w:t>
      </w:r>
      <w:r>
        <w:rPr/>
        <w:tab/>
        <w:tab/>
        <w:tab/>
        <w:tab/>
        <w:tab/>
        <w:tab/>
        <w:t xml:space="preserve">     IL RICHIEDENTE</w:t>
      </w:r>
    </w:p>
    <w:p>
      <w:pPr>
        <w:pStyle w:val="Normal"/>
        <w:tabs>
          <w:tab w:val="left" w:pos="0" w:leader="none"/>
        </w:tabs>
        <w:jc w:val="center"/>
        <w:rPr/>
      </w:pPr>
      <w:r>
        <w:rPr/>
      </w:r>
    </w:p>
    <w:p>
      <w:pPr>
        <w:pStyle w:val="Normal"/>
        <w:spacing w:lineRule="auto" w:line="360"/>
        <w:ind w:left="4956" w:right="0" w:firstLine="708"/>
        <w:jc w:val="both"/>
        <w:rPr/>
      </w:pPr>
      <w:r>
        <w:rPr/>
        <w:t>______________________________</w:t>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t xml:space="preserve">               </w:t>
      </w:r>
      <w:r>
        <w:rPr>
          <w:b w:val="false"/>
          <w:bCs w:val="false"/>
          <w:i w:val="false"/>
          <w:iCs w:val="false"/>
          <w:sz w:val="18"/>
          <w:szCs w:val="18"/>
          <w:u w:val="none"/>
        </w:rPr>
        <w:t>(firmato digitalmente)</w:t>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spacing w:lineRule="auto" w:line="360"/>
        <w:jc w:val="both"/>
        <w:rPr>
          <w:rFonts w:cs="Tahoma"/>
          <w:b/>
          <w:sz w:val="20"/>
          <w:szCs w:val="20"/>
        </w:rPr>
      </w:pPr>
      <w:r>
        <w:rPr>
          <w:rFonts w:cs="Tahoma"/>
          <w:b/>
          <w:i/>
          <w:sz w:val="20"/>
          <w:szCs w:val="20"/>
          <w:u w:val="single"/>
        </w:rPr>
        <w:t>N.B.</w:t>
      </w:r>
      <w:r>
        <w:rPr>
          <w:rFonts w:cs="Tahoma"/>
          <w:sz w:val="20"/>
          <w:szCs w:val="20"/>
        </w:rPr>
        <w:t xml:space="preserve">: </w:t>
      </w:r>
      <w:r>
        <w:rPr>
          <w:rFonts w:cs="Tahoma"/>
          <w:b/>
          <w:sz w:val="20"/>
          <w:szCs w:val="20"/>
        </w:rPr>
        <w:t>Allegare la fotocopia di un documento di riconoscimento, in corso di validità, del sottoscrittore.</w:t>
      </w:r>
    </w:p>
    <w:p>
      <w:pPr>
        <w:pStyle w:val="Normal"/>
        <w:pageBreakBefore/>
        <w:spacing w:lineRule="auto" w:line="360"/>
        <w:jc w:val="both"/>
        <w:rPr>
          <w:rFonts w:cs="Arial" w:ascii="Arial" w:hAnsi="Arial"/>
          <w:b/>
          <w:lang w:val="it-IT"/>
        </w:rPr>
      </w:pPr>
      <w:r>
        <w:rPr>
          <w:rFonts w:cs="Arial" w:ascii="Arial" w:hAnsi="Arial"/>
          <w:b/>
          <w:lang w:val="it-IT"/>
        </w:rPr>
      </w:r>
    </w:p>
    <w:p>
      <w:pPr>
        <w:pStyle w:val="Normal"/>
        <w:spacing w:lineRule="auto" w:line="360"/>
        <w:jc w:val="both"/>
        <w:rPr>
          <w:rFonts w:cs="Arial"/>
          <w:b/>
          <w:sz w:val="24"/>
          <w:szCs w:val="24"/>
          <w:lang w:val="it-IT"/>
        </w:rPr>
      </w:pPr>
      <w:r>
        <w:rPr>
          <w:rFonts w:cs="Arial"/>
          <w:b/>
          <w:sz w:val="24"/>
          <w:szCs w:val="24"/>
          <w:lang w:val="it-IT"/>
        </w:rPr>
        <w:t>Ulteriori indicazioni necessarie all’effettuazione degli accertamenti relativi alle singole cause di esclusione.</w:t>
      </w:r>
    </w:p>
    <w:p>
      <w:pPr>
        <w:pStyle w:val="Normal"/>
        <w:spacing w:lineRule="auto" w:line="360"/>
        <w:jc w:val="both"/>
        <w:rPr>
          <w:rFonts w:cs="Arial"/>
          <w:sz w:val="24"/>
          <w:szCs w:val="24"/>
          <w:lang w:val="it-IT"/>
        </w:rPr>
      </w:pPr>
      <w:r>
        <w:rPr>
          <w:rFonts w:cs="Arial"/>
          <w:sz w:val="24"/>
          <w:szCs w:val="24"/>
          <w:lang w:val="it-IT"/>
        </w:rPr>
      </w:r>
    </w:p>
    <w:p>
      <w:pPr>
        <w:pStyle w:val="Normal"/>
        <w:spacing w:lineRule="auto" w:line="360"/>
        <w:jc w:val="both"/>
        <w:rPr>
          <w:rFonts w:cs="Arial"/>
          <w:sz w:val="24"/>
          <w:szCs w:val="24"/>
          <w:lang w:val="it-IT"/>
        </w:rPr>
      </w:pPr>
      <w:r>
        <w:rPr>
          <w:rFonts w:cs="Arial"/>
          <w:sz w:val="24"/>
          <w:szCs w:val="24"/>
          <w:lang w:val="it-IT"/>
        </w:rPr>
        <w:t>Ufficio/sede dell’Agenzia delle Entrate:</w:t>
      </w:r>
    </w:p>
    <w:p>
      <w:pPr>
        <w:pStyle w:val="Normal"/>
        <w:spacing w:lineRule="auto" w:line="360"/>
        <w:jc w:val="both"/>
        <w:rPr>
          <w:rFonts w:cs="Arial"/>
          <w:sz w:val="24"/>
          <w:szCs w:val="24"/>
          <w:lang w:val="it-IT"/>
        </w:rPr>
      </w:pPr>
      <w:r>
        <w:rPr>
          <w:rFonts w:cs="Arial"/>
          <w:sz w:val="24"/>
          <w:szCs w:val="24"/>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uto" w:line="360"/>
        <w:jc w:val="both"/>
        <w:rPr>
          <w:rFonts w:cs="Arial"/>
          <w:sz w:val="24"/>
          <w:szCs w:val="24"/>
          <w:lang w:val="it-IT"/>
        </w:rPr>
      </w:pPr>
      <w:r>
        <w:rPr>
          <w:rFonts w:cs="Arial"/>
          <w:sz w:val="24"/>
          <w:szCs w:val="24"/>
          <w:lang w:val="it-IT"/>
        </w:rPr>
        <w:t>PEC _____________________________________.</w:t>
      </w:r>
    </w:p>
    <w:p>
      <w:pPr>
        <w:pStyle w:val="Normal"/>
        <w:spacing w:lineRule="auto" w:line="360"/>
        <w:jc w:val="both"/>
        <w:rPr>
          <w:rFonts w:cs="Arial"/>
          <w:sz w:val="24"/>
          <w:szCs w:val="24"/>
          <w:lang w:val="it-IT"/>
        </w:rPr>
      </w:pPr>
      <w:r>
        <w:rPr>
          <w:rFonts w:cs="Arial"/>
          <w:sz w:val="24"/>
          <w:szCs w:val="24"/>
          <w:lang w:val="it-IT"/>
        </w:rPr>
      </w:r>
    </w:p>
    <w:p>
      <w:pPr>
        <w:pStyle w:val="Normal"/>
        <w:spacing w:lineRule="auto" w:line="360"/>
        <w:jc w:val="both"/>
        <w:rPr>
          <w:rFonts w:cs="Arial"/>
          <w:sz w:val="24"/>
          <w:szCs w:val="24"/>
          <w:lang w:val="it-IT"/>
        </w:rPr>
      </w:pPr>
      <w:r>
        <w:rPr>
          <w:rFonts w:cs="Arial"/>
          <w:sz w:val="24"/>
          <w:szCs w:val="24"/>
          <w:lang w:val="it-IT"/>
        </w:rPr>
      </w:r>
    </w:p>
    <w:p>
      <w:pPr>
        <w:pStyle w:val="Normal"/>
        <w:spacing w:lineRule="auto" w:line="360"/>
        <w:jc w:val="both"/>
        <w:rPr>
          <w:rFonts w:cs="Arial"/>
          <w:sz w:val="24"/>
          <w:szCs w:val="24"/>
          <w:lang w:val="it-IT"/>
        </w:rPr>
      </w:pPr>
      <w:r>
        <w:rPr>
          <w:rFonts w:cs="Arial"/>
          <w:sz w:val="24"/>
          <w:szCs w:val="24"/>
          <w:lang w:val="it-IT"/>
        </w:rPr>
        <w:t>Ufficio della Provincia competente per la certificazione di cui alla legge 68/1999:</w:t>
      </w:r>
    </w:p>
    <w:p>
      <w:pPr>
        <w:pStyle w:val="Normal"/>
        <w:spacing w:lineRule="auto" w:line="360"/>
        <w:jc w:val="both"/>
        <w:rPr>
          <w:rFonts w:cs="Arial"/>
          <w:sz w:val="24"/>
          <w:szCs w:val="24"/>
          <w:lang w:val="it-IT"/>
        </w:rPr>
      </w:pPr>
      <w:r>
        <w:rPr>
          <w:rFonts w:cs="Arial"/>
          <w:sz w:val="24"/>
          <w:szCs w:val="24"/>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uto" w:line="360" w:before="0" w:after="0"/>
        <w:jc w:val="left"/>
        <w:rPr>
          <w:rFonts w:cs="Tahoma"/>
          <w:sz w:val="24"/>
          <w:szCs w:val="24"/>
        </w:rPr>
      </w:pPr>
      <w:r>
        <w:rPr>
          <w:rFonts w:cs="Tahoma"/>
          <w:sz w:val="24"/>
          <w:szCs w:val="24"/>
        </w:rPr>
      </w:r>
    </w:p>
    <w:p>
      <w:pPr>
        <w:pStyle w:val="Normal"/>
        <w:widowControl/>
        <w:tabs>
          <w:tab w:val="left" w:pos="0" w:leader="none"/>
        </w:tabs>
        <w:spacing w:lineRule="auto" w:line="360" w:before="0" w:after="0"/>
        <w:jc w:val="left"/>
        <w:rPr>
          <w:rFonts w:cs="Tahoma"/>
          <w:sz w:val="24"/>
          <w:szCs w:val="24"/>
        </w:rPr>
      </w:pPr>
      <w:r>
        <w:rPr>
          <w:rFonts w:cs="Tahoma"/>
          <w:sz w:val="24"/>
          <w:szCs w:val="24"/>
        </w:rPr>
      </w:r>
    </w:p>
    <w:p>
      <w:pPr>
        <w:pStyle w:val="Normal"/>
        <w:widowControl/>
        <w:tabs>
          <w:tab w:val="left" w:pos="0" w:leader="none"/>
        </w:tabs>
        <w:spacing w:lineRule="auto" w:line="360" w:before="0" w:after="0"/>
        <w:jc w:val="both"/>
        <w:rPr>
          <w:rFonts w:cs="Tahoma"/>
          <w:sz w:val="24"/>
          <w:szCs w:val="24"/>
        </w:rPr>
      </w:pPr>
      <w:r>
        <w:rPr>
          <w:rFonts w:cs="Tahoma"/>
          <w:sz w:val="24"/>
          <w:szCs w:val="24"/>
        </w:rPr>
        <w:t>Luogo e data ___________________</w:t>
      </w:r>
    </w:p>
    <w:p>
      <w:pPr>
        <w:pStyle w:val="Normal"/>
        <w:tabs>
          <w:tab w:val="left" w:pos="0" w:leader="none"/>
        </w:tabs>
        <w:jc w:val="center"/>
        <w:rPr/>
      </w:pPr>
      <w:r>
        <w:rPr/>
        <w:t xml:space="preserve">              </w:t>
      </w:r>
      <w:r>
        <w:rPr/>
        <w:tab/>
        <w:tab/>
        <w:tab/>
        <w:tab/>
        <w:tab/>
        <w:tab/>
        <w:t xml:space="preserve"> IL RICHIEDENTE</w:t>
      </w:r>
    </w:p>
    <w:p>
      <w:pPr>
        <w:pStyle w:val="Normal"/>
        <w:tabs>
          <w:tab w:val="left" w:pos="0" w:leader="none"/>
        </w:tabs>
        <w:jc w:val="center"/>
        <w:rPr/>
      </w:pPr>
      <w:r>
        <w:rPr/>
      </w:r>
    </w:p>
    <w:p>
      <w:pPr>
        <w:pStyle w:val="Normal"/>
        <w:spacing w:lineRule="auto" w:line="360"/>
        <w:ind w:left="4956" w:right="0" w:firstLine="708"/>
        <w:jc w:val="both"/>
        <w:rPr/>
      </w:pPr>
      <w:r>
        <w:rPr/>
        <w:t>______________________________</w:t>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t xml:space="preserve">                             </w:t>
      </w:r>
      <w:r>
        <w:rPr>
          <w:b w:val="false"/>
          <w:bCs w:val="false"/>
          <w:i w:val="false"/>
          <w:iCs w:val="false"/>
          <w:sz w:val="18"/>
          <w:szCs w:val="18"/>
          <w:u w:val="none"/>
        </w:rPr>
        <w:t>(firmato digitalmente)</w:t>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r>
    </w:p>
    <w:p>
      <w:pPr>
        <w:pStyle w:val="Normal"/>
        <w:spacing w:lineRule="auto" w:line="360"/>
        <w:ind w:left="4956" w:right="0" w:firstLine="708"/>
        <w:jc w:val="both"/>
        <w:rPr>
          <w:b w:val="false"/>
          <w:bCs w:val="false"/>
          <w:i w:val="false"/>
          <w:iCs w:val="false"/>
          <w:sz w:val="18"/>
          <w:szCs w:val="18"/>
          <w:u w:val="none"/>
        </w:rPr>
      </w:pPr>
      <w:r>
        <w:rPr>
          <w:b w:val="false"/>
          <w:bCs w:val="false"/>
          <w:i w:val="false"/>
          <w:iCs w:val="false"/>
          <w:sz w:val="18"/>
          <w:szCs w:val="18"/>
          <w:u w:val="none"/>
        </w:rPr>
      </w:r>
    </w:p>
    <w:p>
      <w:pPr>
        <w:pStyle w:val="Normal"/>
        <w:widowControl w:val="false"/>
        <w:tabs>
          <w:tab w:val="left" w:pos="142" w:leader="none"/>
        </w:tabs>
        <w:jc w:val="both"/>
        <w:rPr>
          <w:b/>
          <w:i/>
          <w:u w:val="single"/>
        </w:rPr>
      </w:pPr>
      <w:r>
        <w:rPr>
          <w:b/>
          <w:i/>
          <w:u w:val="single"/>
        </w:rPr>
      </w:r>
    </w:p>
    <w:p>
      <w:pPr>
        <w:pStyle w:val="Normal"/>
        <w:widowControl w:val="false"/>
        <w:tabs>
          <w:tab w:val="left" w:pos="142" w:leader="none"/>
        </w:tabs>
        <w:spacing w:lineRule="auto" w:line="360"/>
        <w:ind w:left="0" w:right="0" w:hanging="0"/>
        <w:jc w:val="both"/>
        <w:rPr>
          <w:rFonts w:cs="Arial" w:ascii="Arial" w:hAnsi="Arial"/>
          <w:b/>
          <w:sz w:val="20"/>
          <w:szCs w:val="20"/>
          <w:lang w:val="it-IT"/>
        </w:rPr>
      </w:pPr>
      <w:r>
        <w:rPr>
          <w:rFonts w:cs="Arial" w:ascii="Arial" w:hAnsi="Arial"/>
          <w:b/>
          <w:i/>
          <w:sz w:val="20"/>
          <w:szCs w:val="20"/>
          <w:u w:val="single"/>
          <w:lang w:val="it-IT"/>
        </w:rPr>
        <w:t>N.B.</w:t>
      </w:r>
      <w:r>
        <w:rPr>
          <w:rFonts w:cs="Arial" w:ascii="Arial" w:hAnsi="Arial"/>
          <w:b/>
          <w:sz w:val="20"/>
          <w:szCs w:val="20"/>
          <w:lang w:val="it-IT"/>
        </w:rPr>
        <w:t>: Allegare la fotocopia di un documento di riconoscimento, in corso di validità, del sottoscrittore.</w:t>
      </w:r>
    </w:p>
    <w:sectPr>
      <w:headerReference w:type="default" r:id="rId2"/>
      <w:footerReference w:type="default" r:id="rId3"/>
      <w:footnotePr>
        <w:numFmt w:val="decimal"/>
      </w:footnotePr>
      <w:type w:val="nextPage"/>
      <w:pgSz w:w="11906" w:h="16838"/>
      <w:pgMar w:left="851" w:right="855" w:header="720" w:top="851" w:footer="720" w:bottom="1279"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OpenSymbol">
    <w:altName w:val="Arial Unicode MS"/>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Garamond">
    <w:charset w:val="00"/>
    <w:family w:val="roman"/>
    <w:pitch w:val="variable"/>
  </w:font>
  <w:font w:name="OpenSymbol">
    <w:altName w:val="Arial Unicode MS"/>
    <w:charset w:val="01"/>
    <w:family w:val="auto"/>
    <w:pitch w:val="variable"/>
  </w:font>
  <w:font w:name="Wingdings">
    <w:charset w:val="02"/>
    <w:family w:val="auto"/>
    <w:pitch w:val="variable"/>
  </w:font>
  <w:font w:name="Courier New">
    <w:charset w:val="01"/>
    <w:family w:val="modern"/>
    <w:pitch w:val="fixed"/>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11</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Style w:val="Footnotereference"/>
        </w:rPr>
        <w:t>1</w:t>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rFonts w:ascii="Garamond" w:hAnsi="Garamond"/>
        </w:rPr>
      </w:pPr>
      <w:r>
        <w:rPr>
          <w:rFonts w:ascii="Garamond" w:hAnsi="Garamond"/>
        </w:rPr>
        <w:footnoteRef/>
        <w:tab/>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caps/>
        <w:sz w:val="20"/>
        <w:szCs w:val="20"/>
      </w:rPr>
    </w:pPr>
    <w:r>
      <w:rPr>
        <w:rFonts w:cs="Tahoma"/>
        <w:b w:val="false"/>
        <w:bCs w:val="false"/>
        <w:caps/>
        <w:sz w:val="20"/>
        <w:szCs w:val="20"/>
      </w:rPr>
      <w:t xml:space="preserve">Allegato 3_dichiarazioni integrative DGUE concorrente </w:t>
    </w:r>
  </w:p>
  <w:p>
    <w:pPr>
      <w:pStyle w:val="Normal"/>
      <w:widowControl/>
      <w:jc w:val="center"/>
      <w:rPr>
        <w:rFonts w:cs="Tahoma"/>
        <w:b w:val="false"/>
        <w:bCs w:val="false"/>
        <w:sz w:val="20"/>
        <w:szCs w:val="20"/>
      </w:rPr>
    </w:pPr>
    <w:r>
      <w:rPr>
        <w:rFonts w:cs="Tahoma"/>
        <w:b w:val="false"/>
        <w:bCs w:val="false"/>
        <w:sz w:val="20"/>
        <w:szCs w:val="20"/>
      </w:rPr>
      <w:t>(Ditta singola, Mandatario, Consorzio, Mandante, Consorziata)</w:t>
    </w:r>
  </w:p>
  <w:p>
    <w:pPr>
      <w:pStyle w:val="Normal"/>
      <w:widowControl/>
      <w:jc w:val="center"/>
      <w:rPr>
        <w:rFonts w:cs="Tahoma" w:ascii="Garamond" w:hAnsi="Garamond"/>
        <w:b w:val="false"/>
        <w:bCs w:val="false"/>
        <w:sz w:val="20"/>
        <w:szCs w:val="20"/>
      </w:rPr>
    </w:pPr>
    <w:r>
      <w:rPr>
        <w:rFonts w:cs="Tahoma" w:ascii="Garamond" w:hAnsi="Garamond"/>
        <w:b w:val="false"/>
        <w:bCs w:val="false"/>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4"/>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lvl w:ilvl="0">
      <w:start w:val="1"/>
      <w:numFmt w:val="bullet"/>
      <w:lvlText w:val=""/>
      <w:lvlJc w:val="left"/>
      <w:pPr>
        <w:ind w:left="1080" w:hanging="360"/>
      </w:pPr>
      <w:rPr>
        <w:rFonts w:ascii="Wingdings" w:hAnsi="Wingdings" w:cs="Wingding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lvl w:ilvl="0">
      <w:start w:val="1"/>
      <w:numFmt w:val="bullet"/>
      <w:lvlText w:val=""/>
      <w:lvlJc w:val="left"/>
      <w:pPr>
        <w:ind w:left="1080" w:hanging="360"/>
      </w:pPr>
      <w:rPr>
        <w:rFonts w:ascii="Wingdings" w:hAnsi="Wingdings" w:cs="Wingding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lvl w:ilvl="0">
      <w:start w:val="1"/>
      <w:numFmt w:val="bullet"/>
      <w:lvlText w:val=""/>
      <w:lvlJc w:val="left"/>
      <w:pPr>
        <w:tabs>
          <w:tab w:val="num" w:pos="2290"/>
        </w:tabs>
        <w:ind w:left="2290" w:hanging="360"/>
      </w:pPr>
      <w:rPr>
        <w:rFonts w:ascii="Symbol" w:hAnsi="Symbol" w:cs="Symbol" w:hint="default"/>
      </w:rPr>
    </w:lvl>
    <w:lvl w:ilvl="1">
      <w:start w:val="1"/>
      <w:numFmt w:val="bullet"/>
      <w:lvlText w:val="◦"/>
      <w:lvlJc w:val="left"/>
      <w:pPr>
        <w:tabs>
          <w:tab w:val="num" w:pos="2650"/>
        </w:tabs>
        <w:ind w:left="2650" w:hanging="360"/>
      </w:pPr>
      <w:rPr>
        <w:rFonts w:ascii="OpenSymbol" w:hAnsi="OpenSymbol" w:cs="OpenSymbol" w:hint="default"/>
      </w:rPr>
    </w:lvl>
    <w:lvl w:ilvl="2">
      <w:start w:val="1"/>
      <w:numFmt w:val="bullet"/>
      <w:lvlText w:val="▪"/>
      <w:lvlJc w:val="left"/>
      <w:pPr>
        <w:tabs>
          <w:tab w:val="num" w:pos="3010"/>
        </w:tabs>
        <w:ind w:left="3010" w:hanging="360"/>
      </w:pPr>
      <w:rPr>
        <w:rFonts w:ascii="OpenSymbol" w:hAnsi="OpenSymbol" w:cs="OpenSymbol" w:hint="default"/>
      </w:rPr>
    </w:lvl>
    <w:lvl w:ilvl="3">
      <w:start w:val="1"/>
      <w:numFmt w:val="bullet"/>
      <w:lvlText w:val=""/>
      <w:lvlJc w:val="left"/>
      <w:pPr>
        <w:tabs>
          <w:tab w:val="num" w:pos="3370"/>
        </w:tabs>
        <w:ind w:left="3370" w:hanging="360"/>
      </w:pPr>
      <w:rPr>
        <w:rFonts w:ascii="Symbol" w:hAnsi="Symbol" w:cs="Symbol" w:hint="default"/>
      </w:rPr>
    </w:lvl>
    <w:lvl w:ilvl="4">
      <w:start w:val="1"/>
      <w:numFmt w:val="bullet"/>
      <w:lvlText w:val="◦"/>
      <w:lvlJc w:val="left"/>
      <w:pPr>
        <w:tabs>
          <w:tab w:val="num" w:pos="3730"/>
        </w:tabs>
        <w:ind w:left="3730" w:hanging="360"/>
      </w:pPr>
      <w:rPr>
        <w:rFonts w:ascii="OpenSymbol" w:hAnsi="OpenSymbol" w:cs="OpenSymbol" w:hint="default"/>
      </w:rPr>
    </w:lvl>
    <w:lvl w:ilvl="5">
      <w:start w:val="1"/>
      <w:numFmt w:val="bullet"/>
      <w:lvlText w:val="▪"/>
      <w:lvlJc w:val="left"/>
      <w:pPr>
        <w:tabs>
          <w:tab w:val="num" w:pos="4090"/>
        </w:tabs>
        <w:ind w:left="4090" w:hanging="360"/>
      </w:pPr>
      <w:rPr>
        <w:rFonts w:ascii="OpenSymbol" w:hAnsi="OpenSymbol" w:cs="OpenSymbol" w:hint="default"/>
      </w:rPr>
    </w:lvl>
    <w:lvl w:ilvl="6">
      <w:start w:val="1"/>
      <w:numFmt w:val="bullet"/>
      <w:lvlText w:val=""/>
      <w:lvlJc w:val="left"/>
      <w:pPr>
        <w:tabs>
          <w:tab w:val="num" w:pos="4450"/>
        </w:tabs>
        <w:ind w:left="4450" w:hanging="360"/>
      </w:pPr>
      <w:rPr>
        <w:rFonts w:ascii="Symbol" w:hAnsi="Symbol" w:cs="Symbol" w:hint="default"/>
      </w:rPr>
    </w:lvl>
    <w:lvl w:ilvl="7">
      <w:start w:val="1"/>
      <w:numFmt w:val="bullet"/>
      <w:lvlText w:val="◦"/>
      <w:lvlJc w:val="left"/>
      <w:pPr>
        <w:tabs>
          <w:tab w:val="num" w:pos="4810"/>
        </w:tabs>
        <w:ind w:left="4810" w:hanging="360"/>
      </w:pPr>
      <w:rPr>
        <w:rFonts w:ascii="OpenSymbol" w:hAnsi="OpenSymbol" w:cs="OpenSymbol" w:hint="default"/>
      </w:rPr>
    </w:lvl>
    <w:lvl w:ilvl="8">
      <w:start w:val="1"/>
      <w:numFmt w:val="bullet"/>
      <w:lvlText w:val="▪"/>
      <w:lvlJc w:val="left"/>
      <w:pPr>
        <w:tabs>
          <w:tab w:val="num" w:pos="5170"/>
        </w:tabs>
        <w:ind w:left="517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1174"/>
        </w:tabs>
        <w:ind w:left="1174" w:hanging="360"/>
      </w:pPr>
      <w:rPr>
        <w:rFonts w:ascii="Symbol" w:hAnsi="Symbol" w:cs="Symbol" w:hint="default"/>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8">
    <w:lvl w:ilvl="0">
      <w:start w:val="1"/>
      <w:numFmt w:val="bullet"/>
      <w:lvlText w:val=""/>
      <w:lvlJc w:val="left"/>
      <w:pPr>
        <w:tabs>
          <w:tab w:val="num" w:pos="930"/>
        </w:tabs>
        <w:ind w:left="930" w:hanging="360"/>
      </w:pPr>
      <w:rPr>
        <w:rFonts w:ascii="Symbol" w:hAnsi="Symbol" w:cs="Symbol" w:hint="default"/>
      </w:rPr>
    </w:lvl>
    <w:lvl w:ilvl="1">
      <w:start w:val="1"/>
      <w:numFmt w:val="bullet"/>
      <w:lvlText w:val="◦"/>
      <w:lvlJc w:val="left"/>
      <w:pPr>
        <w:tabs>
          <w:tab w:val="num" w:pos="1290"/>
        </w:tabs>
        <w:ind w:left="1290" w:hanging="360"/>
      </w:pPr>
      <w:rPr>
        <w:rFonts w:ascii="OpenSymbol" w:hAnsi="OpenSymbol" w:cs="OpenSymbol" w:hint="default"/>
      </w:rPr>
    </w:lvl>
    <w:lvl w:ilvl="2">
      <w:start w:val="1"/>
      <w:numFmt w:val="bullet"/>
      <w:lvlText w:val="▪"/>
      <w:lvlJc w:val="left"/>
      <w:pPr>
        <w:tabs>
          <w:tab w:val="num" w:pos="1650"/>
        </w:tabs>
        <w:ind w:left="1650" w:hanging="360"/>
      </w:pPr>
      <w:rPr>
        <w:rFonts w:ascii="OpenSymbol" w:hAnsi="OpenSymbol" w:cs="OpenSymbol" w:hint="default"/>
      </w:rPr>
    </w:lvl>
    <w:lvl w:ilvl="3">
      <w:start w:val="1"/>
      <w:numFmt w:val="bullet"/>
      <w:lvlText w:val=""/>
      <w:lvlJc w:val="left"/>
      <w:pPr>
        <w:tabs>
          <w:tab w:val="num" w:pos="2010"/>
        </w:tabs>
        <w:ind w:left="2010" w:hanging="360"/>
      </w:pPr>
      <w:rPr>
        <w:rFonts w:ascii="Symbol" w:hAnsi="Symbol" w:cs="Symbol" w:hint="default"/>
      </w:rPr>
    </w:lvl>
    <w:lvl w:ilvl="4">
      <w:start w:val="1"/>
      <w:numFmt w:val="bullet"/>
      <w:lvlText w:val="◦"/>
      <w:lvlJc w:val="left"/>
      <w:pPr>
        <w:tabs>
          <w:tab w:val="num" w:pos="2370"/>
        </w:tabs>
        <w:ind w:left="2370" w:hanging="360"/>
      </w:pPr>
      <w:rPr>
        <w:rFonts w:ascii="OpenSymbol" w:hAnsi="OpenSymbol" w:cs="OpenSymbol" w:hint="default"/>
      </w:rPr>
    </w:lvl>
    <w:lvl w:ilvl="5">
      <w:start w:val="1"/>
      <w:numFmt w:val="bullet"/>
      <w:lvlText w:val="▪"/>
      <w:lvlJc w:val="left"/>
      <w:pPr>
        <w:tabs>
          <w:tab w:val="num" w:pos="2730"/>
        </w:tabs>
        <w:ind w:left="2730" w:hanging="360"/>
      </w:pPr>
      <w:rPr>
        <w:rFonts w:ascii="OpenSymbol" w:hAnsi="OpenSymbol" w:cs="OpenSymbol" w:hint="default"/>
      </w:rPr>
    </w:lvl>
    <w:lvl w:ilvl="6">
      <w:start w:val="1"/>
      <w:numFmt w:val="bullet"/>
      <w:lvlText w:val=""/>
      <w:lvlJc w:val="left"/>
      <w:pPr>
        <w:tabs>
          <w:tab w:val="num" w:pos="3090"/>
        </w:tabs>
        <w:ind w:left="3090" w:hanging="360"/>
      </w:pPr>
      <w:rPr>
        <w:rFonts w:ascii="Symbol" w:hAnsi="Symbol" w:cs="Symbol" w:hint="default"/>
      </w:rPr>
    </w:lvl>
    <w:lvl w:ilvl="7">
      <w:start w:val="1"/>
      <w:numFmt w:val="bullet"/>
      <w:lvlText w:val="◦"/>
      <w:lvlJc w:val="left"/>
      <w:pPr>
        <w:tabs>
          <w:tab w:val="num" w:pos="3450"/>
        </w:tabs>
        <w:ind w:left="3450" w:hanging="360"/>
      </w:pPr>
      <w:rPr>
        <w:rFonts w:ascii="OpenSymbol" w:hAnsi="OpenSymbol" w:cs="OpenSymbol" w:hint="default"/>
      </w:rPr>
    </w:lvl>
    <w:lvl w:ilvl="8">
      <w:start w:val="1"/>
      <w:numFmt w:val="bullet"/>
      <w:lvlText w:val="▪"/>
      <w:lvlJc w:val="left"/>
      <w:pPr>
        <w:tabs>
          <w:tab w:val="num" w:pos="3810"/>
        </w:tabs>
        <w:ind w:left="3810" w:hanging="360"/>
      </w:pPr>
      <w:rPr>
        <w:rFonts w:ascii="OpenSymbol" w:hAnsi="OpenSymbol" w:cs="OpenSymbol" w:hint="default"/>
      </w:rPr>
    </w:lvl>
  </w:abstractNum>
  <w:abstractNum w:abstractNumId="9">
    <w:lvl w:ilvl="0">
      <w:start w:val="1"/>
      <w:numFmt w:val="bullet"/>
      <w:lvlText w:val=""/>
      <w:lvlJc w:val="left"/>
      <w:pPr>
        <w:tabs>
          <w:tab w:val="num" w:pos="1174"/>
        </w:tabs>
        <w:ind w:left="1174" w:hanging="360"/>
      </w:pPr>
      <w:rPr>
        <w:rFonts w:ascii="Symbol" w:hAnsi="Symbol" w:cs="Symbol" w:hint="default"/>
        <w:sz w:val="24"/>
        <w:b/>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MT Extra" w:hAnsi="MT Extra" w:cs="MT Extr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1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rFonts w:cs="Arial"/>
      <w:b w:val="false"/>
      <w:i w:val="false"/>
      <w:sz w:val="22"/>
      <w:szCs w:val="22"/>
    </w:rPr>
  </w:style>
  <w:style w:type="character" w:styleId="ListLabel5">
    <w:name w:val="ListLabel 5"/>
    <w:qFormat/>
    <w:rPr>
      <w:rFonts w:eastAsia="Times New Roman" w:cs="Times New Roman"/>
      <w:b w:val="false"/>
      <w:i w:val="false"/>
      <w:sz w:val="24"/>
    </w:rPr>
  </w:style>
  <w:style w:type="character" w:styleId="ListLabel6">
    <w:name w:val="ListLabel 6"/>
    <w:qFormat/>
    <w:rPr>
      <w:sz w:val="16"/>
    </w:rPr>
  </w:style>
  <w:style w:type="character" w:styleId="ListLabel7">
    <w:name w:val="ListLabel 7"/>
    <w:qFormat/>
    <w:rPr>
      <w:i w:val="false"/>
    </w:rPr>
  </w:style>
  <w:style w:type="character" w:styleId="ListLabel8">
    <w:name w:val="ListLabel 8"/>
    <w:qFormat/>
    <w:rPr>
      <w:b/>
      <w:i w:val="false"/>
      <w:sz w:val="24"/>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b w:val="false"/>
      <w:i w:val="false"/>
      <w:sz w:val="22"/>
      <w:szCs w:val="22"/>
    </w:rPr>
  </w:style>
  <w:style w:type="character" w:styleId="ListLabel14">
    <w:name w:val="ListLabel 14"/>
    <w:qFormat/>
    <w:rPr>
      <w:rFonts w:cs="Times New Roman"/>
      <w:b w:val="false"/>
      <w:i w:val="false"/>
      <w:sz w:val="24"/>
    </w:rPr>
  </w:style>
  <w:style w:type="character" w:styleId="ListLabel15">
    <w:name w:val="ListLabel 15"/>
    <w:qFormat/>
    <w:rPr>
      <w:rFonts w:cs="Wingdings"/>
      <w:sz w:val="16"/>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Wingdings"/>
      <w:sz w:val="16"/>
    </w:rPr>
  </w:style>
  <w:style w:type="character" w:styleId="ListLabel21">
    <w:name w:val="ListLabel 21"/>
    <w:qFormat/>
    <w:rPr>
      <w:rFonts w:cs="Symbol"/>
    </w:rPr>
  </w:style>
  <w:style w:type="character" w:styleId="ListLabel22">
    <w:name w:val="ListLabel 22"/>
    <w:qFormat/>
    <w:rPr>
      <w:rFonts w:cs="Open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Wingdings"/>
      <w:sz w:val="16"/>
    </w:rPr>
  </w:style>
  <w:style w:type="character" w:styleId="ListLabel26">
    <w:name w:val="ListLabel 26"/>
    <w:qFormat/>
    <w:rPr>
      <w:rFonts w:cs="Symbol"/>
      <w:sz w:val="24"/>
    </w:rPr>
  </w:style>
  <w:style w:type="character" w:styleId="ListLabel27">
    <w:name w:val="ListLabel 27"/>
    <w:qFormat/>
    <w:rPr>
      <w:rFonts w:cs="Symbol"/>
      <w:sz w:val="24"/>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Symbol"/>
      <w:sz w:val="24"/>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Wingdings"/>
      <w:sz w:val="24"/>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Wingdings"/>
      <w:sz w:val="24"/>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Symbol"/>
    </w:rPr>
  </w:style>
  <w:style w:type="character" w:styleId="ListLabel70">
    <w:name w:val="ListLabel 70"/>
    <w:qFormat/>
    <w:rPr>
      <w:rFonts w:cs="OpenSymbol"/>
    </w:rPr>
  </w:style>
  <w:style w:type="character" w:styleId="ListLabel71">
    <w:name w:val="ListLabel 71"/>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72">
    <w:name w:val="ListLabel 72"/>
    <w:qFormat/>
    <w:rPr>
      <w:rFonts w:cs="Symbol"/>
      <w:sz w:val="24"/>
    </w:rPr>
  </w:style>
  <w:style w:type="character" w:styleId="ListLabel73">
    <w:name w:val="ListLabel 73"/>
    <w:qFormat/>
    <w:rPr>
      <w:rFonts w:cs="Symbol"/>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Wingdings"/>
      <w:sz w:val="24"/>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Wingdings"/>
      <w:sz w:val="24"/>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Symbol"/>
      <w:sz w:val="24"/>
    </w:rPr>
  </w:style>
  <w:style w:type="character" w:styleId="ListLabel119">
    <w:name w:val="ListLabel 119"/>
    <w:qFormat/>
    <w:rPr>
      <w:rFonts w:cs="Symbol"/>
      <w:sz w:val="24"/>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Symbol"/>
      <w:sz w:val="24"/>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4"/>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Wingdings"/>
      <w:sz w:val="24"/>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Symbol"/>
    </w:rPr>
  </w:style>
  <w:style w:type="character" w:styleId="ListLabel162">
    <w:name w:val="ListLabel 162"/>
    <w:qFormat/>
    <w:rPr>
      <w:rFonts w:cs="OpenSymbol"/>
    </w:rPr>
  </w:style>
  <w:style w:type="character" w:styleId="ListLabel163">
    <w:name w:val="ListLabel 163"/>
    <w:qFormat/>
    <w:rPr>
      <w:rFonts w:cs="OpenSymbol"/>
    </w:rPr>
  </w:style>
  <w:style w:type="character" w:styleId="WWCharLFO11LVL1">
    <w:name w:val="WW_CharLFO11LVL1"/>
    <w:qFormat/>
    <w:rPr>
      <w:rFonts w:ascii="Symbol" w:hAnsi="Symbol" w:cs="Calibri Light"/>
      <w:b/>
      <w:bCs/>
      <w:spacing w:val="-1"/>
      <w:sz w:val="22"/>
      <w:szCs w:val="22"/>
    </w:rPr>
  </w:style>
  <w:style w:type="character" w:styleId="WWCharLFO11LVL2">
    <w:name w:val="WW_CharLFO11LVL2"/>
    <w:qFormat/>
    <w:rPr>
      <w:rFonts w:ascii="OpenSymbol" w:hAnsi="OpenSymbol" w:cs="Calibri Light"/>
      <w:sz w:val="22"/>
      <w:szCs w:val="22"/>
    </w:rPr>
  </w:style>
  <w:style w:type="character" w:styleId="WWCharLFO11LVL3">
    <w:name w:val="WW_CharLFO11LVL3"/>
    <w:qFormat/>
    <w:rPr>
      <w:rFonts w:ascii="OpenSymbol" w:hAnsi="OpenSymbol" w:cs="OpenSymbol"/>
    </w:rPr>
  </w:style>
  <w:style w:type="character" w:styleId="WWCharLFO11LVL4">
    <w:name w:val="WW_CharLFO11LVL4"/>
    <w:qFormat/>
    <w:rPr>
      <w:rFonts w:ascii="Symbol" w:hAnsi="Symbol" w:cs="OpenSymbol"/>
    </w:rPr>
  </w:style>
  <w:style w:type="character" w:styleId="WWCharLFO11LVL5">
    <w:name w:val="WW_CharLFO11LVL5"/>
    <w:qFormat/>
    <w:rPr>
      <w:rFonts w:ascii="OpenSymbol" w:hAnsi="OpenSymbol" w:cs="OpenSymbol"/>
    </w:rPr>
  </w:style>
  <w:style w:type="character" w:styleId="WWCharLFO11LVL6">
    <w:name w:val="WW_CharLFO11LVL6"/>
    <w:qFormat/>
    <w:rPr>
      <w:rFonts w:ascii="OpenSymbol" w:hAnsi="OpenSymbol" w:cs="OpenSymbol"/>
    </w:rPr>
  </w:style>
  <w:style w:type="character" w:styleId="WWCharLFO11LVL7">
    <w:name w:val="WW_CharLFO11LVL7"/>
    <w:qFormat/>
    <w:rPr>
      <w:rFonts w:ascii="Symbol" w:hAnsi="Symbol" w:cs="OpenSymbol"/>
    </w:rPr>
  </w:style>
  <w:style w:type="character" w:styleId="WWCharLFO11LVL8">
    <w:name w:val="WW_CharLFO11LVL8"/>
    <w:qFormat/>
    <w:rPr>
      <w:rFonts w:ascii="OpenSymbol" w:hAnsi="OpenSymbol" w:cs="OpenSymbol"/>
    </w:rPr>
  </w:style>
  <w:style w:type="character" w:styleId="WWCharLFO11LVL9">
    <w:name w:val="WW_CharLFO11LVL9"/>
    <w:qFormat/>
    <w:rPr>
      <w:rFonts w:ascii="OpenSymbol" w:hAnsi="OpenSymbol" w:cs="OpenSymbol"/>
    </w:rPr>
  </w:style>
  <w:style w:type="character" w:styleId="ListLabel164">
    <w:name w:val="ListLabel 164"/>
    <w:qFormat/>
    <w:rPr>
      <w:rFonts w:cs="Symbol"/>
      <w:sz w:val="24"/>
    </w:rPr>
  </w:style>
  <w:style w:type="character" w:styleId="ListLabel165">
    <w:name w:val="ListLabel 165"/>
    <w:qFormat/>
    <w:rPr>
      <w:rFonts w:cs="Symbol"/>
      <w:sz w:val="24"/>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Symbol"/>
      <w:sz w:val="24"/>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Wingdings"/>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Wingdings"/>
      <w:sz w:val="24"/>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Symbol"/>
    </w:rPr>
  </w:style>
  <w:style w:type="character" w:styleId="ListLabel208">
    <w:name w:val="ListLabel 208"/>
    <w:qFormat/>
    <w:rPr>
      <w:rFonts w:cs="OpenSymbol"/>
    </w:rPr>
  </w:style>
  <w:style w:type="character" w:styleId="ListLabel209">
    <w:name w:val="ListLabel 209"/>
    <w:qFormat/>
    <w:rPr>
      <w:rFonts w:cs="OpenSymbol"/>
    </w:rPr>
  </w:style>
  <w:style w:type="character" w:styleId="ListLabel210">
    <w:name w:val="ListLabel 210"/>
    <w:qFormat/>
    <w:rPr>
      <w:rFonts w:cs="Symbol"/>
      <w:sz w:val="24"/>
    </w:rPr>
  </w:style>
  <w:style w:type="character" w:styleId="ListLabel211">
    <w:name w:val="ListLabel 211"/>
    <w:qFormat/>
    <w:rPr>
      <w:rFonts w:cs="Symbol"/>
      <w:sz w:val="24"/>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Symbol"/>
      <w:sz w:val="24"/>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Wingdings"/>
      <w:sz w:val="24"/>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Wingdings"/>
      <w:sz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Symbol"/>
      <w:sz w:val="24"/>
    </w:rPr>
  </w:style>
  <w:style w:type="character" w:styleId="ListLabel257">
    <w:name w:val="ListLabel 257"/>
    <w:qFormat/>
    <w:rPr>
      <w:rFonts w:cs="Symbol"/>
      <w:sz w:val="24"/>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Symbol"/>
    </w:rPr>
  </w:style>
  <w:style w:type="character" w:styleId="ListLabel264">
    <w:name w:val="ListLabel 264"/>
    <w:qFormat/>
    <w:rPr>
      <w:rFonts w:cs="OpenSymbol"/>
    </w:rPr>
  </w:style>
  <w:style w:type="character" w:styleId="ListLabel265">
    <w:name w:val="ListLabel 265"/>
    <w:qFormat/>
    <w:rPr>
      <w:rFonts w:cs="OpenSymbol"/>
    </w:rPr>
  </w:style>
  <w:style w:type="character" w:styleId="ListLabel266">
    <w:name w:val="ListLabel 266"/>
    <w:qFormat/>
    <w:rPr>
      <w:rFonts w:cs="Symbol"/>
      <w:sz w:val="24"/>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cs="Symbol"/>
    </w:rPr>
  </w:style>
  <w:style w:type="character" w:styleId="ListLabel270">
    <w:name w:val="ListLabel 270"/>
    <w:qFormat/>
    <w:rPr>
      <w:rFonts w:cs="Courier New"/>
    </w:rPr>
  </w:style>
  <w:style w:type="character" w:styleId="ListLabel271">
    <w:name w:val="ListLabel 271"/>
    <w:qFormat/>
    <w:rPr>
      <w:rFonts w:cs="Wingdings"/>
    </w:rPr>
  </w:style>
  <w:style w:type="character" w:styleId="ListLabel272">
    <w:name w:val="ListLabel 272"/>
    <w:qFormat/>
    <w:rPr>
      <w:rFonts w:cs="Symbol"/>
    </w:rPr>
  </w:style>
  <w:style w:type="character" w:styleId="ListLabel273">
    <w:name w:val="ListLabel 273"/>
    <w:qFormat/>
    <w:rPr>
      <w:rFonts w:cs="Courier New"/>
    </w:rPr>
  </w:style>
  <w:style w:type="character" w:styleId="ListLabel274">
    <w:name w:val="ListLabel 274"/>
    <w:qFormat/>
    <w:rPr>
      <w:rFonts w:cs="Wingdings"/>
    </w:rPr>
  </w:style>
  <w:style w:type="character" w:styleId="ListLabel275">
    <w:name w:val="ListLabel 275"/>
    <w:qFormat/>
    <w:rPr>
      <w:rFonts w:cs="Wingdings"/>
      <w:sz w:val="24"/>
    </w:rPr>
  </w:style>
  <w:style w:type="character" w:styleId="ListLabel276">
    <w:name w:val="ListLabel 276"/>
    <w:qFormat/>
    <w:rPr>
      <w:rFonts w:cs="Courier New"/>
    </w:rPr>
  </w:style>
  <w:style w:type="character" w:styleId="ListLabel277">
    <w:name w:val="ListLabel 277"/>
    <w:qFormat/>
    <w:rPr>
      <w:rFonts w:cs="Wingdings"/>
    </w:rPr>
  </w:style>
  <w:style w:type="character" w:styleId="ListLabel278">
    <w:name w:val="ListLabel 278"/>
    <w:qFormat/>
    <w:rPr>
      <w:rFonts w:cs="Symbol"/>
    </w:rPr>
  </w:style>
  <w:style w:type="character" w:styleId="ListLabel279">
    <w:name w:val="ListLabel 279"/>
    <w:qFormat/>
    <w:rPr>
      <w:rFonts w:cs="Courier New"/>
    </w:rPr>
  </w:style>
  <w:style w:type="character" w:styleId="ListLabel280">
    <w:name w:val="ListLabel 280"/>
    <w:qFormat/>
    <w:rPr>
      <w:rFonts w:cs="Wingdings"/>
    </w:rPr>
  </w:style>
  <w:style w:type="character" w:styleId="ListLabel281">
    <w:name w:val="ListLabel 281"/>
    <w:qFormat/>
    <w:rPr>
      <w:rFonts w:cs="Symbol"/>
    </w:rPr>
  </w:style>
  <w:style w:type="character" w:styleId="ListLabel282">
    <w:name w:val="ListLabel 282"/>
    <w:qFormat/>
    <w:rPr>
      <w:rFonts w:cs="Courier New"/>
    </w:rPr>
  </w:style>
  <w:style w:type="character" w:styleId="ListLabel283">
    <w:name w:val="ListLabel 283"/>
    <w:qFormat/>
    <w:rPr>
      <w:rFonts w:cs="Wingdings"/>
    </w:rPr>
  </w:style>
  <w:style w:type="character" w:styleId="ListLabel284">
    <w:name w:val="ListLabel 284"/>
    <w:qFormat/>
    <w:rPr>
      <w:rFonts w:cs="Wingdings"/>
      <w:sz w:val="24"/>
    </w:rPr>
  </w:style>
  <w:style w:type="character" w:styleId="ListLabel285">
    <w:name w:val="ListLabel 285"/>
    <w:qFormat/>
    <w:rPr>
      <w:rFonts w:cs="Courier New"/>
    </w:rPr>
  </w:style>
  <w:style w:type="character" w:styleId="ListLabel286">
    <w:name w:val="ListLabel 286"/>
    <w:qFormat/>
    <w:rPr>
      <w:rFonts w:cs="Wingdings"/>
    </w:rPr>
  </w:style>
  <w:style w:type="character" w:styleId="ListLabel287">
    <w:name w:val="ListLabel 287"/>
    <w:qFormat/>
    <w:rPr>
      <w:rFonts w:cs="Symbol"/>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Symbol"/>
      <w:sz w:val="24"/>
    </w:rPr>
  </w:style>
  <w:style w:type="character" w:styleId="ListLabel303">
    <w:name w:val="ListLabel 303"/>
    <w:qFormat/>
    <w:rPr>
      <w:rFonts w:cs="Symbol"/>
      <w:sz w:val="24"/>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Symbol"/>
      <w:sz w:val="24"/>
    </w:rPr>
  </w:style>
  <w:style w:type="character" w:styleId="ListLabel313">
    <w:name w:val="ListLabel 313"/>
    <w:qFormat/>
    <w:rPr>
      <w:rFonts w:cs="Courier New"/>
    </w:rPr>
  </w:style>
  <w:style w:type="character" w:styleId="ListLabel314">
    <w:name w:val="ListLabel 314"/>
    <w:qFormat/>
    <w:rPr>
      <w:rFonts w:cs="Wingdings"/>
    </w:rPr>
  </w:style>
  <w:style w:type="character" w:styleId="ListLabel315">
    <w:name w:val="ListLabel 315"/>
    <w:qFormat/>
    <w:rPr>
      <w:rFonts w:cs="Symbol"/>
    </w:rPr>
  </w:style>
  <w:style w:type="character" w:styleId="ListLabel316">
    <w:name w:val="ListLabel 316"/>
    <w:qFormat/>
    <w:rPr>
      <w:rFonts w:cs="Courier New"/>
    </w:rPr>
  </w:style>
  <w:style w:type="character" w:styleId="ListLabel317">
    <w:name w:val="ListLabel 317"/>
    <w:qFormat/>
    <w:rPr>
      <w:rFonts w:cs="Wingdings"/>
    </w:rPr>
  </w:style>
  <w:style w:type="character" w:styleId="ListLabel318">
    <w:name w:val="ListLabel 318"/>
    <w:qFormat/>
    <w:rPr>
      <w:rFonts w:cs="Symbol"/>
    </w:rPr>
  </w:style>
  <w:style w:type="character" w:styleId="ListLabel319">
    <w:name w:val="ListLabel 319"/>
    <w:qFormat/>
    <w:rPr>
      <w:rFonts w:cs="Courier New"/>
    </w:rPr>
  </w:style>
  <w:style w:type="character" w:styleId="ListLabel320">
    <w:name w:val="ListLabel 320"/>
    <w:qFormat/>
    <w:rPr>
      <w:rFonts w:cs="Wingdings"/>
    </w:rPr>
  </w:style>
  <w:style w:type="character" w:styleId="ListLabel321">
    <w:name w:val="ListLabel 321"/>
    <w:qFormat/>
    <w:rPr>
      <w:rFonts w:cs="Wingdings"/>
      <w:sz w:val="24"/>
    </w:rPr>
  </w:style>
  <w:style w:type="character" w:styleId="ListLabel322">
    <w:name w:val="ListLabel 322"/>
    <w:qFormat/>
    <w:rPr>
      <w:rFonts w:cs="Courier New"/>
    </w:rPr>
  </w:style>
  <w:style w:type="character" w:styleId="ListLabel323">
    <w:name w:val="ListLabel 323"/>
    <w:qFormat/>
    <w:rPr>
      <w:rFonts w:cs="Wingdings"/>
    </w:rPr>
  </w:style>
  <w:style w:type="character" w:styleId="ListLabel324">
    <w:name w:val="ListLabel 324"/>
    <w:qFormat/>
    <w:rPr>
      <w:rFonts w:cs="Symbol"/>
    </w:rPr>
  </w:style>
  <w:style w:type="character" w:styleId="ListLabel325">
    <w:name w:val="ListLabel 325"/>
    <w:qFormat/>
    <w:rPr>
      <w:rFonts w:cs="Courier New"/>
    </w:rPr>
  </w:style>
  <w:style w:type="character" w:styleId="ListLabel326">
    <w:name w:val="ListLabel 326"/>
    <w:qFormat/>
    <w:rPr>
      <w:rFonts w:cs="Wingdings"/>
    </w:rPr>
  </w:style>
  <w:style w:type="character" w:styleId="ListLabel327">
    <w:name w:val="ListLabel 327"/>
    <w:qFormat/>
    <w:rPr>
      <w:rFonts w:cs="Symbol"/>
    </w:rPr>
  </w:style>
  <w:style w:type="character" w:styleId="ListLabel328">
    <w:name w:val="ListLabel 328"/>
    <w:qFormat/>
    <w:rPr>
      <w:rFonts w:cs="Courier New"/>
    </w:rPr>
  </w:style>
  <w:style w:type="character" w:styleId="ListLabel329">
    <w:name w:val="ListLabel 329"/>
    <w:qFormat/>
    <w:rPr>
      <w:rFonts w:cs="Wingdings"/>
    </w:rPr>
  </w:style>
  <w:style w:type="character" w:styleId="ListLabel330">
    <w:name w:val="ListLabel 330"/>
    <w:qFormat/>
    <w:rPr>
      <w:rFonts w:cs="Wingdings"/>
      <w:sz w:val="24"/>
    </w:rPr>
  </w:style>
  <w:style w:type="character" w:styleId="ListLabel331">
    <w:name w:val="ListLabel 331"/>
    <w:qFormat/>
    <w:rPr>
      <w:rFonts w:cs="Courier New"/>
    </w:rPr>
  </w:style>
  <w:style w:type="character" w:styleId="ListLabel332">
    <w:name w:val="ListLabel 332"/>
    <w:qFormat/>
    <w:rPr>
      <w:rFonts w:cs="Wingdings"/>
    </w:rPr>
  </w:style>
  <w:style w:type="character" w:styleId="ListLabel333">
    <w:name w:val="ListLabel 333"/>
    <w:qFormat/>
    <w:rPr>
      <w:rFonts w:cs="Symbol"/>
    </w:rPr>
  </w:style>
  <w:style w:type="character" w:styleId="ListLabel334">
    <w:name w:val="ListLabel 334"/>
    <w:qFormat/>
    <w:rPr>
      <w:rFonts w:cs="Courier New"/>
    </w:rPr>
  </w:style>
  <w:style w:type="character" w:styleId="ListLabel335">
    <w:name w:val="ListLabel 335"/>
    <w:qFormat/>
    <w:rPr>
      <w:rFonts w:cs="Wingdings"/>
    </w:rPr>
  </w:style>
  <w:style w:type="character" w:styleId="ListLabel336">
    <w:name w:val="ListLabel 336"/>
    <w:qFormat/>
    <w:rPr>
      <w:rFonts w:cs="Symbol"/>
    </w:rPr>
  </w:style>
  <w:style w:type="character" w:styleId="ListLabel337">
    <w:name w:val="ListLabel 337"/>
    <w:qFormat/>
    <w:rPr>
      <w:rFonts w:cs="Courier New"/>
    </w:rPr>
  </w:style>
  <w:style w:type="character" w:styleId="ListLabel338">
    <w:name w:val="ListLabel 338"/>
    <w:qFormat/>
    <w:rPr>
      <w:rFonts w:cs="Wingdings"/>
    </w:rPr>
  </w:style>
  <w:style w:type="character" w:styleId="ListLabel339">
    <w:name w:val="ListLabel 339"/>
    <w:qFormat/>
    <w:rPr>
      <w:rFonts w:cs="Symbol"/>
    </w:rPr>
  </w:style>
  <w:style w:type="character" w:styleId="ListLabel340">
    <w:name w:val="ListLabel 340"/>
    <w:qFormat/>
    <w:rPr>
      <w:rFonts w:cs="OpenSymbol"/>
    </w:rPr>
  </w:style>
  <w:style w:type="character" w:styleId="ListLabel341">
    <w:name w:val="ListLabel 341"/>
    <w:qFormat/>
    <w:rPr>
      <w:rFonts w:cs="OpenSymbol"/>
    </w:rPr>
  </w:style>
  <w:style w:type="character" w:styleId="ListLabel342">
    <w:name w:val="ListLabel 342"/>
    <w:qFormat/>
    <w:rPr>
      <w:rFonts w:cs="Symbol"/>
    </w:rPr>
  </w:style>
  <w:style w:type="character" w:styleId="ListLabel343">
    <w:name w:val="ListLabel 343"/>
    <w:qFormat/>
    <w:rPr>
      <w:rFonts w:cs="OpenSymbol"/>
    </w:rPr>
  </w:style>
  <w:style w:type="character" w:styleId="ListLabel344">
    <w:name w:val="ListLabel 344"/>
    <w:qFormat/>
    <w:rPr>
      <w:rFonts w:cs="OpenSymbol"/>
    </w:rPr>
  </w:style>
  <w:style w:type="character" w:styleId="ListLabel345">
    <w:name w:val="ListLabel 345"/>
    <w:qFormat/>
    <w:rPr>
      <w:rFonts w:cs="Symbol"/>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Symbol"/>
      <w:sz w:val="24"/>
    </w:rPr>
  </w:style>
  <w:style w:type="character" w:styleId="ListLabel429">
    <w:name w:val="ListLabel 429"/>
    <w:qFormat/>
    <w:rPr>
      <w:rFonts w:cs="Symbol"/>
      <w:sz w:val="24"/>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Symbol"/>
      <w:sz w:val="24"/>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Wingdings"/>
      <w:sz w:val="24"/>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Wingdings"/>
      <w:sz w:val="24"/>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Symbol"/>
      <w:sz w:val="24"/>
    </w:rPr>
  </w:style>
  <w:style w:type="character" w:styleId="ListLabel493">
    <w:name w:val="ListLabel 493"/>
    <w:qFormat/>
    <w:rPr>
      <w:rFonts w:cs="Symbol"/>
      <w:sz w:val="24"/>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Symbol"/>
      <w:sz w:val="24"/>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rFonts w:cs="Symbol"/>
    </w:rPr>
  </w:style>
  <w:style w:type="character" w:styleId="ListLabel506">
    <w:name w:val="ListLabel 506"/>
    <w:qFormat/>
    <w:rPr>
      <w:rFonts w:cs="Courier New"/>
    </w:rPr>
  </w:style>
  <w:style w:type="character" w:styleId="ListLabel507">
    <w:name w:val="ListLabel 507"/>
    <w:qFormat/>
    <w:rPr>
      <w:rFonts w:cs="Wingdings"/>
    </w:rPr>
  </w:style>
  <w:style w:type="character" w:styleId="ListLabel508">
    <w:name w:val="ListLabel 508"/>
    <w:qFormat/>
    <w:rPr>
      <w:rFonts w:cs="Symbol"/>
    </w:rPr>
  </w:style>
  <w:style w:type="character" w:styleId="ListLabel509">
    <w:name w:val="ListLabel 509"/>
    <w:qFormat/>
    <w:rPr>
      <w:rFonts w:cs="Courier New"/>
    </w:rPr>
  </w:style>
  <w:style w:type="character" w:styleId="ListLabel510">
    <w:name w:val="ListLabel 510"/>
    <w:qFormat/>
    <w:rPr>
      <w:rFonts w:cs="Wingdings"/>
    </w:rPr>
  </w:style>
  <w:style w:type="character" w:styleId="ListLabel511">
    <w:name w:val="ListLabel 511"/>
    <w:qFormat/>
    <w:rPr>
      <w:rFonts w:cs="Wingdings"/>
      <w:sz w:val="24"/>
    </w:rPr>
  </w:style>
  <w:style w:type="character" w:styleId="ListLabel512">
    <w:name w:val="ListLabel 512"/>
    <w:qFormat/>
    <w:rPr>
      <w:rFonts w:cs="Courier New"/>
    </w:rPr>
  </w:style>
  <w:style w:type="character" w:styleId="ListLabel513">
    <w:name w:val="ListLabel 513"/>
    <w:qFormat/>
    <w:rPr>
      <w:rFonts w:cs="Wingdings"/>
    </w:rPr>
  </w:style>
  <w:style w:type="character" w:styleId="ListLabel514">
    <w:name w:val="ListLabel 514"/>
    <w:qFormat/>
    <w:rPr>
      <w:rFonts w:cs="Symbol"/>
    </w:rPr>
  </w:style>
  <w:style w:type="character" w:styleId="ListLabel515">
    <w:name w:val="ListLabel 515"/>
    <w:qFormat/>
    <w:rPr>
      <w:rFonts w:cs="Courier New"/>
    </w:rPr>
  </w:style>
  <w:style w:type="character" w:styleId="ListLabel516">
    <w:name w:val="ListLabel 516"/>
    <w:qFormat/>
    <w:rPr>
      <w:rFonts w:cs="Wingdings"/>
    </w:rPr>
  </w:style>
  <w:style w:type="character" w:styleId="ListLabel517">
    <w:name w:val="ListLabel 517"/>
    <w:qFormat/>
    <w:rPr>
      <w:rFonts w:cs="Symbol"/>
    </w:rPr>
  </w:style>
  <w:style w:type="character" w:styleId="ListLabel518">
    <w:name w:val="ListLabel 518"/>
    <w:qFormat/>
    <w:rPr>
      <w:rFonts w:cs="Courier New"/>
    </w:rPr>
  </w:style>
  <w:style w:type="character" w:styleId="ListLabel519">
    <w:name w:val="ListLabel 519"/>
    <w:qFormat/>
    <w:rPr>
      <w:rFonts w:cs="Wingdings"/>
    </w:rPr>
  </w:style>
  <w:style w:type="character" w:styleId="ListLabel520">
    <w:name w:val="ListLabel 520"/>
    <w:qFormat/>
    <w:rPr>
      <w:rFonts w:cs="Wingdings"/>
      <w:sz w:val="24"/>
    </w:rPr>
  </w:style>
  <w:style w:type="character" w:styleId="ListLabel521">
    <w:name w:val="ListLabel 521"/>
    <w:qFormat/>
    <w:rPr>
      <w:rFonts w:cs="Courier New"/>
    </w:rPr>
  </w:style>
  <w:style w:type="character" w:styleId="ListLabel522">
    <w:name w:val="ListLabel 522"/>
    <w:qFormat/>
    <w:rPr>
      <w:rFonts w:cs="Wingdings"/>
    </w:rPr>
  </w:style>
  <w:style w:type="character" w:styleId="ListLabel523">
    <w:name w:val="ListLabel 523"/>
    <w:qFormat/>
    <w:rPr>
      <w:rFonts w:cs="Symbol"/>
    </w:rPr>
  </w:style>
  <w:style w:type="character" w:styleId="ListLabel524">
    <w:name w:val="ListLabel 524"/>
    <w:qFormat/>
    <w:rPr>
      <w:rFonts w:cs="Courier New"/>
    </w:rPr>
  </w:style>
  <w:style w:type="character" w:styleId="ListLabel525">
    <w:name w:val="ListLabel 525"/>
    <w:qFormat/>
    <w:rPr>
      <w:rFonts w:cs="Wingdings"/>
    </w:rPr>
  </w:style>
  <w:style w:type="character" w:styleId="ListLabel526">
    <w:name w:val="ListLabel 526"/>
    <w:qFormat/>
    <w:rPr>
      <w:rFonts w:cs="Symbol"/>
    </w:rPr>
  </w:style>
  <w:style w:type="character" w:styleId="ListLabel527">
    <w:name w:val="ListLabel 527"/>
    <w:qFormat/>
    <w:rPr>
      <w:rFonts w:cs="Courier New"/>
    </w:rPr>
  </w:style>
  <w:style w:type="character" w:styleId="ListLabel528">
    <w:name w:val="ListLabel 528"/>
    <w:qFormat/>
    <w:rPr>
      <w:rFonts w:cs="Wingdings"/>
    </w:rPr>
  </w:style>
  <w:style w:type="character" w:styleId="ListLabel529">
    <w:name w:val="ListLabel 529"/>
    <w:qFormat/>
    <w:rPr>
      <w:rFonts w:cs="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Symbol"/>
    </w:rPr>
  </w:style>
  <w:style w:type="character" w:styleId="ListLabel536">
    <w:name w:val="ListLabel 536"/>
    <w:qFormat/>
    <w:rPr>
      <w:rFonts w:cs="OpenSymbol"/>
    </w:rPr>
  </w:style>
  <w:style w:type="character" w:styleId="ListLabel537">
    <w:name w:val="ListLabel 537"/>
    <w:qFormat/>
    <w:rPr>
      <w:rFonts w:cs="OpenSymbol"/>
    </w:rPr>
  </w:style>
  <w:style w:type="character" w:styleId="ListLabel538">
    <w:name w:val="ListLabel 538"/>
    <w:qFormat/>
    <w:rPr>
      <w:rFonts w:ascii="Times" w:hAnsi="Times" w:cs="OpenSymbol"/>
      <w:sz w:val="24"/>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Open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Open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OpenSymbol"/>
    </w:rPr>
  </w:style>
  <w:style w:type="character" w:styleId="ListLabel548">
    <w:name w:val="ListLabel 548"/>
    <w:qFormat/>
    <w:rPr>
      <w:rFonts w:cs="OpenSymbol"/>
    </w:rPr>
  </w:style>
  <w:style w:type="character" w:styleId="ListLabel549">
    <w:name w:val="ListLabel 549"/>
    <w:qFormat/>
    <w:rPr>
      <w:rFonts w:cs="OpenSymbol"/>
    </w:rPr>
  </w:style>
  <w:style w:type="character" w:styleId="ListLabel550">
    <w:name w:val="ListLabel 550"/>
    <w:qFormat/>
    <w:rPr>
      <w:rFonts w:cs="OpenSymbol"/>
    </w:rPr>
  </w:style>
  <w:style w:type="character" w:styleId="ListLabel551">
    <w:name w:val="ListLabel 551"/>
    <w:qFormat/>
    <w:rPr>
      <w:rFonts w:cs="OpenSymbol"/>
    </w:rPr>
  </w:style>
  <w:style w:type="character" w:styleId="ListLabel552">
    <w:name w:val="ListLabel 552"/>
    <w:qFormat/>
    <w:rPr>
      <w:rFonts w:cs="OpenSymbol"/>
    </w:rPr>
  </w:style>
  <w:style w:type="character" w:styleId="ListLabel553">
    <w:name w:val="ListLabel 553"/>
    <w:qFormat/>
    <w:rPr>
      <w:rFonts w:cs="OpenSymbol"/>
    </w:rPr>
  </w:style>
  <w:style w:type="character" w:styleId="ListLabel554">
    <w:name w:val="ListLabel 554"/>
    <w:qFormat/>
    <w:rPr>
      <w:rFonts w:cs="OpenSymbol"/>
    </w:rPr>
  </w:style>
  <w:style w:type="character" w:styleId="ListLabel555">
    <w:name w:val="ListLabel 555"/>
    <w:qFormat/>
    <w:rPr>
      <w:rFonts w:cs="OpenSymbol"/>
    </w:rPr>
  </w:style>
  <w:style w:type="character" w:styleId="ListLabel556">
    <w:name w:val="ListLabel 556"/>
    <w:qFormat/>
    <w:rPr>
      <w:rFonts w:cs="OpenSymbol"/>
    </w:rPr>
  </w:style>
  <w:style w:type="character" w:styleId="ListLabel557">
    <w:name w:val="ListLabel 557"/>
    <w:qFormat/>
    <w:rPr>
      <w:rFonts w:cs="OpenSymbol"/>
    </w:rPr>
  </w:style>
  <w:style w:type="character" w:styleId="ListLabel558">
    <w:name w:val="ListLabel 558"/>
    <w:qFormat/>
    <w:rPr>
      <w:rFonts w:cs="OpenSymbol"/>
    </w:rPr>
  </w:style>
  <w:style w:type="character" w:styleId="ListLabel559">
    <w:name w:val="ListLabel 559"/>
    <w:qFormat/>
    <w:rPr>
      <w:rFonts w:cs="OpenSymbol"/>
    </w:rPr>
  </w:style>
  <w:style w:type="character" w:styleId="ListLabel560">
    <w:name w:val="ListLabel 560"/>
    <w:qFormat/>
    <w:rPr>
      <w:rFonts w:cs="OpenSymbol"/>
    </w:rPr>
  </w:style>
  <w:style w:type="character" w:styleId="ListLabel561">
    <w:name w:val="ListLabel 561"/>
    <w:qFormat/>
    <w:rPr>
      <w:rFonts w:cs="OpenSymbol"/>
    </w:rPr>
  </w:style>
  <w:style w:type="character" w:styleId="ListLabel562">
    <w:name w:val="ListLabel 562"/>
    <w:qFormat/>
    <w:rPr>
      <w:rFonts w:cs="OpenSymbol"/>
    </w:rPr>
  </w:style>
  <w:style w:type="character" w:styleId="ListLabel563">
    <w:name w:val="ListLabel 563"/>
    <w:qFormat/>
    <w:rPr>
      <w:rFonts w:cs="OpenSymbol"/>
    </w:rPr>
  </w:style>
  <w:style w:type="character" w:styleId="ListLabel564">
    <w:name w:val="ListLabel 564"/>
    <w:qFormat/>
    <w:rPr>
      <w:rFonts w:cs="OpenSymbol"/>
    </w:rPr>
  </w:style>
  <w:style w:type="character" w:styleId="ListLabel565">
    <w:name w:val="ListLabel 565"/>
    <w:qFormat/>
    <w:rPr>
      <w:rFonts w:cs="OpenSymbol"/>
      <w:b/>
      <w:sz w:val="24"/>
    </w:rPr>
  </w:style>
  <w:style w:type="character" w:styleId="ListLabel566">
    <w:name w:val="ListLabel 566"/>
    <w:qFormat/>
    <w:rPr>
      <w:rFonts w:cs="OpenSymbol"/>
    </w:rPr>
  </w:style>
  <w:style w:type="character" w:styleId="ListLabel567">
    <w:name w:val="ListLabel 567"/>
    <w:qFormat/>
    <w:rPr>
      <w:rFonts w:cs="OpenSymbol"/>
    </w:rPr>
  </w:style>
  <w:style w:type="character" w:styleId="ListLabel568">
    <w:name w:val="ListLabel 568"/>
    <w:qFormat/>
    <w:rPr>
      <w:rFonts w:cs="OpenSymbol"/>
    </w:rPr>
  </w:style>
  <w:style w:type="character" w:styleId="ListLabel569">
    <w:name w:val="ListLabel 569"/>
    <w:qFormat/>
    <w:rPr>
      <w:rFonts w:cs="OpenSymbol"/>
    </w:rPr>
  </w:style>
  <w:style w:type="character" w:styleId="ListLabel570">
    <w:name w:val="ListLabel 570"/>
    <w:qFormat/>
    <w:rPr>
      <w:rFonts w:cs="OpenSymbol"/>
    </w:rPr>
  </w:style>
  <w:style w:type="character" w:styleId="ListLabel571">
    <w:name w:val="ListLabel 571"/>
    <w:qFormat/>
    <w:rPr>
      <w:rFonts w:cs="OpenSymbol"/>
    </w:rPr>
  </w:style>
  <w:style w:type="character" w:styleId="ListLabel572">
    <w:name w:val="ListLabel 572"/>
    <w:qFormat/>
    <w:rPr>
      <w:rFonts w:cs="OpenSymbol"/>
    </w:rPr>
  </w:style>
  <w:style w:type="character" w:styleId="ListLabel573">
    <w:name w:val="ListLabel 573"/>
    <w:qFormat/>
    <w:rPr>
      <w:rFonts w:cs="OpenSymbol"/>
    </w:rPr>
  </w:style>
  <w:style w:type="character" w:styleId="ListLabel574">
    <w:name w:val="ListLabel 574"/>
    <w:qFormat/>
    <w:rPr>
      <w:rFonts w:cs="Symbol"/>
      <w:sz w:val="24"/>
    </w:rPr>
  </w:style>
  <w:style w:type="character" w:styleId="ListLabel575">
    <w:name w:val="ListLabel 575"/>
    <w:qFormat/>
    <w:rPr>
      <w:rFonts w:cs="Symbol"/>
      <w:sz w:val="24"/>
    </w:rPr>
  </w:style>
  <w:style w:type="character" w:styleId="ListLabel576">
    <w:name w:val="ListLabel 576"/>
    <w:qFormat/>
    <w:rPr>
      <w:rFonts w:cs="OpenSymbol"/>
    </w:rPr>
  </w:style>
  <w:style w:type="character" w:styleId="ListLabel577">
    <w:name w:val="ListLabel 577"/>
    <w:qFormat/>
    <w:rPr>
      <w:rFonts w:cs="OpenSymbol"/>
    </w:rPr>
  </w:style>
  <w:style w:type="character" w:styleId="ListLabel578">
    <w:name w:val="ListLabel 578"/>
    <w:qFormat/>
    <w:rPr>
      <w:rFonts w:cs="Symbol"/>
    </w:rPr>
  </w:style>
  <w:style w:type="character" w:styleId="ListLabel579">
    <w:name w:val="ListLabel 579"/>
    <w:qFormat/>
    <w:rPr>
      <w:rFonts w:cs="OpenSymbol"/>
    </w:rPr>
  </w:style>
  <w:style w:type="character" w:styleId="ListLabel580">
    <w:name w:val="ListLabel 580"/>
    <w:qFormat/>
    <w:rPr>
      <w:rFonts w:cs="OpenSymbol"/>
    </w:rPr>
  </w:style>
  <w:style w:type="character" w:styleId="ListLabel581">
    <w:name w:val="ListLabel 581"/>
    <w:qFormat/>
    <w:rPr>
      <w:rFonts w:cs="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Symbol"/>
      <w:sz w:val="24"/>
    </w:rPr>
  </w:style>
  <w:style w:type="character" w:styleId="ListLabel585">
    <w:name w:val="ListLabel 585"/>
    <w:qFormat/>
    <w:rPr>
      <w:rFonts w:cs="Courier New"/>
    </w:rPr>
  </w:style>
  <w:style w:type="character" w:styleId="ListLabel586">
    <w:name w:val="ListLabel 586"/>
    <w:qFormat/>
    <w:rPr>
      <w:rFonts w:cs="Wingdings"/>
    </w:rPr>
  </w:style>
  <w:style w:type="character" w:styleId="ListLabel587">
    <w:name w:val="ListLabel 587"/>
    <w:qFormat/>
    <w:rPr>
      <w:rFonts w:cs="Symbol"/>
    </w:rPr>
  </w:style>
  <w:style w:type="character" w:styleId="ListLabel588">
    <w:name w:val="ListLabel 588"/>
    <w:qFormat/>
    <w:rPr>
      <w:rFonts w:cs="Courier New"/>
    </w:rPr>
  </w:style>
  <w:style w:type="character" w:styleId="ListLabel589">
    <w:name w:val="ListLabel 589"/>
    <w:qFormat/>
    <w:rPr>
      <w:rFonts w:cs="Wingdings"/>
    </w:rPr>
  </w:style>
  <w:style w:type="character" w:styleId="ListLabel590">
    <w:name w:val="ListLabel 590"/>
    <w:qFormat/>
    <w:rPr>
      <w:rFonts w:cs="Symbol"/>
    </w:rPr>
  </w:style>
  <w:style w:type="character" w:styleId="ListLabel591">
    <w:name w:val="ListLabel 591"/>
    <w:qFormat/>
    <w:rPr>
      <w:rFonts w:cs="Courier New"/>
    </w:rPr>
  </w:style>
  <w:style w:type="character" w:styleId="ListLabel592">
    <w:name w:val="ListLabel 592"/>
    <w:qFormat/>
    <w:rPr>
      <w:rFonts w:cs="Wingdings"/>
    </w:rPr>
  </w:style>
  <w:style w:type="character" w:styleId="ListLabel593">
    <w:name w:val="ListLabel 593"/>
    <w:qFormat/>
    <w:rPr>
      <w:rFonts w:cs="Wingdings"/>
      <w:sz w:val="24"/>
    </w:rPr>
  </w:style>
  <w:style w:type="character" w:styleId="ListLabel594">
    <w:name w:val="ListLabel 594"/>
    <w:qFormat/>
    <w:rPr>
      <w:rFonts w:cs="Courier New"/>
    </w:rPr>
  </w:style>
  <w:style w:type="character" w:styleId="ListLabel595">
    <w:name w:val="ListLabel 595"/>
    <w:qFormat/>
    <w:rPr>
      <w:rFonts w:cs="Wingdings"/>
    </w:rPr>
  </w:style>
  <w:style w:type="character" w:styleId="ListLabel596">
    <w:name w:val="ListLabel 596"/>
    <w:qFormat/>
    <w:rPr>
      <w:rFonts w:cs="Symbol"/>
    </w:rPr>
  </w:style>
  <w:style w:type="character" w:styleId="ListLabel597">
    <w:name w:val="ListLabel 597"/>
    <w:qFormat/>
    <w:rPr>
      <w:rFonts w:cs="Courier New"/>
    </w:rPr>
  </w:style>
  <w:style w:type="character" w:styleId="ListLabel598">
    <w:name w:val="ListLabel 598"/>
    <w:qFormat/>
    <w:rPr>
      <w:rFonts w:cs="Wingdings"/>
    </w:rPr>
  </w:style>
  <w:style w:type="character" w:styleId="ListLabel599">
    <w:name w:val="ListLabel 599"/>
    <w:qFormat/>
    <w:rPr>
      <w:rFonts w:cs="Symbol"/>
    </w:rPr>
  </w:style>
  <w:style w:type="character" w:styleId="ListLabel600">
    <w:name w:val="ListLabel 600"/>
    <w:qFormat/>
    <w:rPr>
      <w:rFonts w:cs="Courier New"/>
    </w:rPr>
  </w:style>
  <w:style w:type="character" w:styleId="ListLabel601">
    <w:name w:val="ListLabel 601"/>
    <w:qFormat/>
    <w:rPr>
      <w:rFonts w:cs="Wingdings"/>
    </w:rPr>
  </w:style>
  <w:style w:type="character" w:styleId="ListLabel602">
    <w:name w:val="ListLabel 602"/>
    <w:qFormat/>
    <w:rPr>
      <w:rFonts w:cs="Wingdings"/>
      <w:sz w:val="24"/>
    </w:rPr>
  </w:style>
  <w:style w:type="character" w:styleId="ListLabel603">
    <w:name w:val="ListLabel 603"/>
    <w:qFormat/>
    <w:rPr>
      <w:rFonts w:cs="Courier New"/>
    </w:rPr>
  </w:style>
  <w:style w:type="character" w:styleId="ListLabel604">
    <w:name w:val="ListLabel 604"/>
    <w:qFormat/>
    <w:rPr>
      <w:rFonts w:cs="Wingdings"/>
    </w:rPr>
  </w:style>
  <w:style w:type="character" w:styleId="ListLabel605">
    <w:name w:val="ListLabel 605"/>
    <w:qFormat/>
    <w:rPr>
      <w:rFonts w:cs="Symbol"/>
    </w:rPr>
  </w:style>
  <w:style w:type="character" w:styleId="ListLabel606">
    <w:name w:val="ListLabel 606"/>
    <w:qFormat/>
    <w:rPr>
      <w:rFonts w:cs="Courier New"/>
    </w:rPr>
  </w:style>
  <w:style w:type="character" w:styleId="ListLabel607">
    <w:name w:val="ListLabel 607"/>
    <w:qFormat/>
    <w:rPr>
      <w:rFonts w:cs="Wingdings"/>
    </w:rPr>
  </w:style>
  <w:style w:type="character" w:styleId="ListLabel608">
    <w:name w:val="ListLabel 608"/>
    <w:qFormat/>
    <w:rPr>
      <w:rFonts w:cs="Symbol"/>
    </w:rPr>
  </w:style>
  <w:style w:type="character" w:styleId="ListLabel609">
    <w:name w:val="ListLabel 609"/>
    <w:qFormat/>
    <w:rPr>
      <w:rFonts w:cs="Courier New"/>
    </w:rPr>
  </w:style>
  <w:style w:type="character" w:styleId="ListLabel610">
    <w:name w:val="ListLabel 610"/>
    <w:qFormat/>
    <w:rPr>
      <w:rFonts w:cs="Wingdings"/>
    </w:rPr>
  </w:style>
  <w:style w:type="character" w:styleId="ListLabel611">
    <w:name w:val="ListLabel 611"/>
    <w:qFormat/>
    <w:rPr>
      <w:rFonts w:cs="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Symbol"/>
    </w:rPr>
  </w:style>
  <w:style w:type="character" w:styleId="ListLabel618">
    <w:name w:val="ListLabel 618"/>
    <w:qFormat/>
    <w:rPr>
      <w:rFonts w:cs="OpenSymbol"/>
    </w:rPr>
  </w:style>
  <w:style w:type="character" w:styleId="ListLabel619">
    <w:name w:val="ListLabel 619"/>
    <w:qFormat/>
    <w:rPr>
      <w:rFonts w:cs="OpenSymbol"/>
    </w:rPr>
  </w:style>
  <w:style w:type="character" w:styleId="ListLabel620">
    <w:name w:val="ListLabel 620"/>
    <w:qFormat/>
    <w:rPr>
      <w:rFonts w:cs="OpenSymbol"/>
      <w:sz w:val="24"/>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Open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Open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OpenSymbol"/>
    </w:rPr>
  </w:style>
  <w:style w:type="character" w:styleId="ListLabel630">
    <w:name w:val="ListLabel 630"/>
    <w:qFormat/>
    <w:rPr>
      <w:rFonts w:cs="OpenSymbol"/>
    </w:rPr>
  </w:style>
  <w:style w:type="character" w:styleId="ListLabel631">
    <w:name w:val="ListLabel 631"/>
    <w:qFormat/>
    <w:rPr>
      <w:rFonts w:cs="OpenSymbol"/>
    </w:rPr>
  </w:style>
  <w:style w:type="character" w:styleId="ListLabel632">
    <w:name w:val="ListLabel 632"/>
    <w:qFormat/>
    <w:rPr>
      <w:rFonts w:cs="OpenSymbol"/>
    </w:rPr>
  </w:style>
  <w:style w:type="character" w:styleId="ListLabel633">
    <w:name w:val="ListLabel 633"/>
    <w:qFormat/>
    <w:rPr>
      <w:rFonts w:cs="OpenSymbol"/>
    </w:rPr>
  </w:style>
  <w:style w:type="character" w:styleId="ListLabel634">
    <w:name w:val="ListLabel 634"/>
    <w:qFormat/>
    <w:rPr>
      <w:rFonts w:cs="OpenSymbol"/>
    </w:rPr>
  </w:style>
  <w:style w:type="character" w:styleId="ListLabel635">
    <w:name w:val="ListLabel 635"/>
    <w:qFormat/>
    <w:rPr>
      <w:rFonts w:cs="OpenSymbol"/>
    </w:rPr>
  </w:style>
  <w:style w:type="character" w:styleId="ListLabel636">
    <w:name w:val="ListLabel 636"/>
    <w:qFormat/>
    <w:rPr>
      <w:rFonts w:cs="OpenSymbol"/>
    </w:rPr>
  </w:style>
  <w:style w:type="character" w:styleId="ListLabel637">
    <w:name w:val="ListLabel 637"/>
    <w:qFormat/>
    <w:rPr>
      <w:rFonts w:cs="OpenSymbol"/>
    </w:rPr>
  </w:style>
  <w:style w:type="character" w:styleId="ListLabel638">
    <w:name w:val="ListLabel 638"/>
    <w:qFormat/>
    <w:rPr>
      <w:rFonts w:cs="OpenSymbol"/>
    </w:rPr>
  </w:style>
  <w:style w:type="character" w:styleId="ListLabel639">
    <w:name w:val="ListLabel 639"/>
    <w:qFormat/>
    <w:rPr>
      <w:rFonts w:cs="OpenSymbol"/>
    </w:rPr>
  </w:style>
  <w:style w:type="character" w:styleId="ListLabel640">
    <w:name w:val="ListLabel 640"/>
    <w:qFormat/>
    <w:rPr>
      <w:rFonts w:cs="OpenSymbol"/>
    </w:rPr>
  </w:style>
  <w:style w:type="character" w:styleId="ListLabel641">
    <w:name w:val="ListLabel 641"/>
    <w:qFormat/>
    <w:rPr>
      <w:rFonts w:cs="OpenSymbol"/>
    </w:rPr>
  </w:style>
  <w:style w:type="character" w:styleId="ListLabel642">
    <w:name w:val="ListLabel 642"/>
    <w:qFormat/>
    <w:rPr>
      <w:rFonts w:cs="OpenSymbol"/>
    </w:rPr>
  </w:style>
  <w:style w:type="character" w:styleId="ListLabel643">
    <w:name w:val="ListLabel 643"/>
    <w:qFormat/>
    <w:rPr>
      <w:rFonts w:cs="OpenSymbol"/>
    </w:rPr>
  </w:style>
  <w:style w:type="character" w:styleId="ListLabel644">
    <w:name w:val="ListLabel 644"/>
    <w:qFormat/>
    <w:rPr>
      <w:rFonts w:cs="OpenSymbol"/>
    </w:rPr>
  </w:style>
  <w:style w:type="character" w:styleId="ListLabel645">
    <w:name w:val="ListLabel 645"/>
    <w:qFormat/>
    <w:rPr>
      <w:rFonts w:cs="OpenSymbol"/>
    </w:rPr>
  </w:style>
  <w:style w:type="character" w:styleId="ListLabel646">
    <w:name w:val="ListLabel 646"/>
    <w:qFormat/>
    <w:rPr>
      <w:rFonts w:cs="OpenSymbol"/>
    </w:rPr>
  </w:style>
  <w:style w:type="character" w:styleId="ListLabel647">
    <w:name w:val="ListLabel 647"/>
    <w:qFormat/>
    <w:rPr>
      <w:rFonts w:cs="OpenSymbol"/>
      <w:b/>
      <w:sz w:val="24"/>
    </w:rPr>
  </w:style>
  <w:style w:type="character" w:styleId="ListLabel648">
    <w:name w:val="ListLabel 648"/>
    <w:qFormat/>
    <w:rPr>
      <w:rFonts w:cs="OpenSymbol"/>
    </w:rPr>
  </w:style>
  <w:style w:type="character" w:styleId="ListLabel649">
    <w:name w:val="ListLabel 649"/>
    <w:qFormat/>
    <w:rPr>
      <w:rFonts w:cs="OpenSymbol"/>
    </w:rPr>
  </w:style>
  <w:style w:type="character" w:styleId="ListLabel650">
    <w:name w:val="ListLabel 650"/>
    <w:qFormat/>
    <w:rPr>
      <w:rFonts w:cs="OpenSymbol"/>
    </w:rPr>
  </w:style>
  <w:style w:type="character" w:styleId="ListLabel651">
    <w:name w:val="ListLabel 651"/>
    <w:qFormat/>
    <w:rPr>
      <w:rFonts w:cs="OpenSymbol"/>
    </w:rPr>
  </w:style>
  <w:style w:type="character" w:styleId="ListLabel652">
    <w:name w:val="ListLabel 652"/>
    <w:qFormat/>
    <w:rPr>
      <w:rFonts w:cs="OpenSymbol"/>
    </w:rPr>
  </w:style>
  <w:style w:type="character" w:styleId="ListLabel653">
    <w:name w:val="ListLabel 653"/>
    <w:qFormat/>
    <w:rPr>
      <w:rFonts w:cs="OpenSymbol"/>
    </w:rPr>
  </w:style>
  <w:style w:type="character" w:styleId="ListLabel654">
    <w:name w:val="ListLabel 654"/>
    <w:qFormat/>
    <w:rPr>
      <w:rFonts w:cs="OpenSymbol"/>
    </w:rPr>
  </w:style>
  <w:style w:type="character" w:styleId="ListLabel655">
    <w:name w:val="ListLabel 655"/>
    <w:qFormat/>
    <w:rPr>
      <w:rFonts w:cs="OpenSymbol"/>
    </w:rPr>
  </w:style>
  <w:style w:type="character" w:styleId="ListLabel656">
    <w:name w:val="ListLabel 656"/>
    <w:qFormat/>
    <w:rPr>
      <w:rFonts w:cs="Symbol"/>
      <w:sz w:val="24"/>
    </w:rPr>
  </w:style>
  <w:style w:type="character" w:styleId="ListLabel657">
    <w:name w:val="ListLabel 657"/>
    <w:qFormat/>
    <w:rPr>
      <w:rFonts w:cs="Symbol"/>
      <w:sz w:val="24"/>
    </w:rPr>
  </w:style>
  <w:style w:type="character" w:styleId="ListLabel658">
    <w:name w:val="ListLabel 658"/>
    <w:qFormat/>
    <w:rPr>
      <w:rFonts w:cs="OpenSymbol"/>
    </w:rPr>
  </w:style>
  <w:style w:type="character" w:styleId="ListLabel659">
    <w:name w:val="ListLabel 659"/>
    <w:qFormat/>
    <w:rPr>
      <w:rFonts w:cs="OpenSymbol"/>
    </w:rPr>
  </w:style>
  <w:style w:type="character" w:styleId="ListLabel660">
    <w:name w:val="ListLabel 660"/>
    <w:qFormat/>
    <w:rPr>
      <w:rFonts w:cs="Symbol"/>
    </w:rPr>
  </w:style>
  <w:style w:type="character" w:styleId="ListLabel661">
    <w:name w:val="ListLabel 661"/>
    <w:qFormat/>
    <w:rPr>
      <w:rFonts w:cs="OpenSymbol"/>
    </w:rPr>
  </w:style>
  <w:style w:type="character" w:styleId="ListLabel662">
    <w:name w:val="ListLabel 662"/>
    <w:qFormat/>
    <w:rPr>
      <w:rFonts w:cs="OpenSymbol"/>
    </w:rPr>
  </w:style>
  <w:style w:type="character" w:styleId="ListLabel663">
    <w:name w:val="ListLabel 663"/>
    <w:qFormat/>
    <w:rPr>
      <w:rFonts w:cs="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Symbol"/>
      <w:sz w:val="24"/>
    </w:rPr>
  </w:style>
  <w:style w:type="character" w:styleId="ListLabel667">
    <w:name w:val="ListLabel 667"/>
    <w:qFormat/>
    <w:rPr>
      <w:rFonts w:cs="Courier New"/>
    </w:rPr>
  </w:style>
  <w:style w:type="character" w:styleId="ListLabel668">
    <w:name w:val="ListLabel 668"/>
    <w:qFormat/>
    <w:rPr>
      <w:rFonts w:cs="Wingdings"/>
    </w:rPr>
  </w:style>
  <w:style w:type="character" w:styleId="ListLabel669">
    <w:name w:val="ListLabel 669"/>
    <w:qFormat/>
    <w:rPr>
      <w:rFonts w:cs="Symbol"/>
    </w:rPr>
  </w:style>
  <w:style w:type="character" w:styleId="ListLabel670">
    <w:name w:val="ListLabel 670"/>
    <w:qFormat/>
    <w:rPr>
      <w:rFonts w:cs="Courier New"/>
    </w:rPr>
  </w:style>
  <w:style w:type="character" w:styleId="ListLabel671">
    <w:name w:val="ListLabel 671"/>
    <w:qFormat/>
    <w:rPr>
      <w:rFonts w:cs="Wingdings"/>
    </w:rPr>
  </w:style>
  <w:style w:type="character" w:styleId="ListLabel672">
    <w:name w:val="ListLabel 672"/>
    <w:qFormat/>
    <w:rPr>
      <w:rFonts w:cs="Symbol"/>
    </w:rPr>
  </w:style>
  <w:style w:type="character" w:styleId="ListLabel673">
    <w:name w:val="ListLabel 673"/>
    <w:qFormat/>
    <w:rPr>
      <w:rFonts w:cs="Courier New"/>
    </w:rPr>
  </w:style>
  <w:style w:type="character" w:styleId="ListLabel674">
    <w:name w:val="ListLabel 674"/>
    <w:qFormat/>
    <w:rPr>
      <w:rFonts w:cs="Wingdings"/>
    </w:rPr>
  </w:style>
  <w:style w:type="character" w:styleId="ListLabel675">
    <w:name w:val="ListLabel 675"/>
    <w:qFormat/>
    <w:rPr>
      <w:rFonts w:cs="Wingdings"/>
      <w:sz w:val="24"/>
    </w:rPr>
  </w:style>
  <w:style w:type="character" w:styleId="ListLabel676">
    <w:name w:val="ListLabel 676"/>
    <w:qFormat/>
    <w:rPr>
      <w:rFonts w:cs="Courier New"/>
    </w:rPr>
  </w:style>
  <w:style w:type="character" w:styleId="ListLabel677">
    <w:name w:val="ListLabel 677"/>
    <w:qFormat/>
    <w:rPr>
      <w:rFonts w:cs="Wingdings"/>
    </w:rPr>
  </w:style>
  <w:style w:type="character" w:styleId="ListLabel678">
    <w:name w:val="ListLabel 678"/>
    <w:qFormat/>
    <w:rPr>
      <w:rFonts w:cs="Symbol"/>
    </w:rPr>
  </w:style>
  <w:style w:type="character" w:styleId="ListLabel679">
    <w:name w:val="ListLabel 679"/>
    <w:qFormat/>
    <w:rPr>
      <w:rFonts w:cs="Courier New"/>
    </w:rPr>
  </w:style>
  <w:style w:type="character" w:styleId="ListLabel680">
    <w:name w:val="ListLabel 680"/>
    <w:qFormat/>
    <w:rPr>
      <w:rFonts w:cs="Wingdings"/>
    </w:rPr>
  </w:style>
  <w:style w:type="character" w:styleId="ListLabel681">
    <w:name w:val="ListLabel 681"/>
    <w:qFormat/>
    <w:rPr>
      <w:rFonts w:cs="Symbol"/>
    </w:rPr>
  </w:style>
  <w:style w:type="character" w:styleId="ListLabel682">
    <w:name w:val="ListLabel 682"/>
    <w:qFormat/>
    <w:rPr>
      <w:rFonts w:cs="Courier New"/>
    </w:rPr>
  </w:style>
  <w:style w:type="character" w:styleId="ListLabel683">
    <w:name w:val="ListLabel 683"/>
    <w:qFormat/>
    <w:rPr>
      <w:rFonts w:cs="Wingdings"/>
    </w:rPr>
  </w:style>
  <w:style w:type="character" w:styleId="ListLabel684">
    <w:name w:val="ListLabel 684"/>
    <w:qFormat/>
    <w:rPr>
      <w:rFonts w:cs="Wingdings"/>
      <w:sz w:val="24"/>
    </w:rPr>
  </w:style>
  <w:style w:type="character" w:styleId="ListLabel685">
    <w:name w:val="ListLabel 685"/>
    <w:qFormat/>
    <w:rPr>
      <w:rFonts w:cs="Courier New"/>
    </w:rPr>
  </w:style>
  <w:style w:type="character" w:styleId="ListLabel686">
    <w:name w:val="ListLabel 686"/>
    <w:qFormat/>
    <w:rPr>
      <w:rFonts w:cs="Wingdings"/>
    </w:rPr>
  </w:style>
  <w:style w:type="character" w:styleId="ListLabel687">
    <w:name w:val="ListLabel 687"/>
    <w:qFormat/>
    <w:rPr>
      <w:rFonts w:cs="Symbol"/>
    </w:rPr>
  </w:style>
  <w:style w:type="character" w:styleId="ListLabel688">
    <w:name w:val="ListLabel 688"/>
    <w:qFormat/>
    <w:rPr>
      <w:rFonts w:cs="Courier New"/>
    </w:rPr>
  </w:style>
  <w:style w:type="character" w:styleId="ListLabel689">
    <w:name w:val="ListLabel 689"/>
    <w:qFormat/>
    <w:rPr>
      <w:rFonts w:cs="Wingdings"/>
    </w:rPr>
  </w:style>
  <w:style w:type="character" w:styleId="ListLabel690">
    <w:name w:val="ListLabel 690"/>
    <w:qFormat/>
    <w:rPr>
      <w:rFonts w:cs="Symbol"/>
    </w:rPr>
  </w:style>
  <w:style w:type="character" w:styleId="ListLabel691">
    <w:name w:val="ListLabel 691"/>
    <w:qFormat/>
    <w:rPr>
      <w:rFonts w:cs="Courier New"/>
    </w:rPr>
  </w:style>
  <w:style w:type="character" w:styleId="ListLabel692">
    <w:name w:val="ListLabel 692"/>
    <w:qFormat/>
    <w:rPr>
      <w:rFonts w:cs="Wingdings"/>
    </w:rPr>
  </w:style>
  <w:style w:type="character" w:styleId="ListLabel693">
    <w:name w:val="ListLabel 693"/>
    <w:qFormat/>
    <w:rPr>
      <w:rFonts w:cs="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Symbol"/>
    </w:rPr>
  </w:style>
  <w:style w:type="character" w:styleId="ListLabel700">
    <w:name w:val="ListLabel 700"/>
    <w:qFormat/>
    <w:rPr>
      <w:rFonts w:cs="OpenSymbol"/>
    </w:rPr>
  </w:style>
  <w:style w:type="character" w:styleId="ListLabel701">
    <w:name w:val="ListLabel 701"/>
    <w:qFormat/>
    <w:rPr>
      <w:rFonts w:cs="OpenSymbol"/>
    </w:rPr>
  </w:style>
  <w:style w:type="character" w:styleId="ListLabel702">
    <w:name w:val="ListLabel 702"/>
    <w:qFormat/>
    <w:rPr>
      <w:rFonts w:cs="OpenSymbol"/>
      <w:sz w:val="24"/>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Open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Open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OpenSymbol"/>
    </w:rPr>
  </w:style>
  <w:style w:type="character" w:styleId="ListLabel712">
    <w:name w:val="ListLabel 712"/>
    <w:qFormat/>
    <w:rPr>
      <w:rFonts w:cs="OpenSymbol"/>
    </w:rPr>
  </w:style>
  <w:style w:type="character" w:styleId="ListLabel713">
    <w:name w:val="ListLabel 713"/>
    <w:qFormat/>
    <w:rPr>
      <w:rFonts w:cs="OpenSymbol"/>
    </w:rPr>
  </w:style>
  <w:style w:type="character" w:styleId="ListLabel714">
    <w:name w:val="ListLabel 714"/>
    <w:qFormat/>
    <w:rPr>
      <w:rFonts w:cs="OpenSymbol"/>
    </w:rPr>
  </w:style>
  <w:style w:type="character" w:styleId="ListLabel715">
    <w:name w:val="ListLabel 715"/>
    <w:qFormat/>
    <w:rPr>
      <w:rFonts w:cs="OpenSymbol"/>
    </w:rPr>
  </w:style>
  <w:style w:type="character" w:styleId="ListLabel716">
    <w:name w:val="ListLabel 716"/>
    <w:qFormat/>
    <w:rPr>
      <w:rFonts w:cs="OpenSymbol"/>
    </w:rPr>
  </w:style>
  <w:style w:type="character" w:styleId="ListLabel717">
    <w:name w:val="ListLabel 717"/>
    <w:qFormat/>
    <w:rPr>
      <w:rFonts w:cs="OpenSymbol"/>
    </w:rPr>
  </w:style>
  <w:style w:type="character" w:styleId="ListLabel718">
    <w:name w:val="ListLabel 718"/>
    <w:qFormat/>
    <w:rPr>
      <w:rFonts w:cs="OpenSymbol"/>
    </w:rPr>
  </w:style>
  <w:style w:type="character" w:styleId="ListLabel719">
    <w:name w:val="ListLabel 719"/>
    <w:qFormat/>
    <w:rPr>
      <w:rFonts w:cs="OpenSymbol"/>
    </w:rPr>
  </w:style>
  <w:style w:type="character" w:styleId="ListLabel720">
    <w:name w:val="ListLabel 720"/>
    <w:qFormat/>
    <w:rPr>
      <w:rFonts w:cs="OpenSymbol"/>
    </w:rPr>
  </w:style>
  <w:style w:type="character" w:styleId="ListLabel721">
    <w:name w:val="ListLabel 721"/>
    <w:qFormat/>
    <w:rPr>
      <w:rFonts w:cs="OpenSymbol"/>
    </w:rPr>
  </w:style>
  <w:style w:type="character" w:styleId="ListLabel722">
    <w:name w:val="ListLabel 722"/>
    <w:qFormat/>
    <w:rPr>
      <w:rFonts w:cs="OpenSymbol"/>
    </w:rPr>
  </w:style>
  <w:style w:type="character" w:styleId="ListLabel723">
    <w:name w:val="ListLabel 723"/>
    <w:qFormat/>
    <w:rPr>
      <w:rFonts w:cs="OpenSymbol"/>
    </w:rPr>
  </w:style>
  <w:style w:type="character" w:styleId="ListLabel724">
    <w:name w:val="ListLabel 724"/>
    <w:qFormat/>
    <w:rPr>
      <w:rFonts w:cs="OpenSymbol"/>
    </w:rPr>
  </w:style>
  <w:style w:type="character" w:styleId="ListLabel725">
    <w:name w:val="ListLabel 725"/>
    <w:qFormat/>
    <w:rPr>
      <w:rFonts w:cs="OpenSymbol"/>
    </w:rPr>
  </w:style>
  <w:style w:type="character" w:styleId="ListLabel726">
    <w:name w:val="ListLabel 726"/>
    <w:qFormat/>
    <w:rPr>
      <w:rFonts w:cs="OpenSymbol"/>
    </w:rPr>
  </w:style>
  <w:style w:type="character" w:styleId="ListLabel727">
    <w:name w:val="ListLabel 727"/>
    <w:qFormat/>
    <w:rPr>
      <w:rFonts w:cs="OpenSymbol"/>
    </w:rPr>
  </w:style>
  <w:style w:type="character" w:styleId="ListLabel728">
    <w:name w:val="ListLabel 728"/>
    <w:qFormat/>
    <w:rPr>
      <w:rFonts w:cs="OpenSymbol"/>
    </w:rPr>
  </w:style>
  <w:style w:type="character" w:styleId="ListLabel729">
    <w:name w:val="ListLabel 729"/>
    <w:qFormat/>
    <w:rPr>
      <w:rFonts w:cs="OpenSymbol"/>
      <w:b/>
      <w:sz w:val="24"/>
    </w:rPr>
  </w:style>
  <w:style w:type="character" w:styleId="ListLabel730">
    <w:name w:val="ListLabel 730"/>
    <w:qFormat/>
    <w:rPr>
      <w:rFonts w:cs="OpenSymbol"/>
    </w:rPr>
  </w:style>
  <w:style w:type="character" w:styleId="ListLabel731">
    <w:name w:val="ListLabel 731"/>
    <w:qFormat/>
    <w:rPr>
      <w:rFonts w:cs="OpenSymbol"/>
    </w:rPr>
  </w:style>
  <w:style w:type="character" w:styleId="ListLabel732">
    <w:name w:val="ListLabel 732"/>
    <w:qFormat/>
    <w:rPr>
      <w:rFonts w:cs="OpenSymbol"/>
    </w:rPr>
  </w:style>
  <w:style w:type="character" w:styleId="ListLabel733">
    <w:name w:val="ListLabel 733"/>
    <w:qFormat/>
    <w:rPr>
      <w:rFonts w:cs="OpenSymbol"/>
    </w:rPr>
  </w:style>
  <w:style w:type="character" w:styleId="ListLabel734">
    <w:name w:val="ListLabel 734"/>
    <w:qFormat/>
    <w:rPr>
      <w:rFonts w:cs="OpenSymbol"/>
    </w:rPr>
  </w:style>
  <w:style w:type="character" w:styleId="ListLabel735">
    <w:name w:val="ListLabel 735"/>
    <w:qFormat/>
    <w:rPr>
      <w:rFonts w:cs="OpenSymbol"/>
    </w:rPr>
  </w:style>
  <w:style w:type="character" w:styleId="ListLabel736">
    <w:name w:val="ListLabel 736"/>
    <w:qFormat/>
    <w:rPr>
      <w:rFonts w:cs="OpenSymbol"/>
    </w:rPr>
  </w:style>
  <w:style w:type="character" w:styleId="ListLabel737">
    <w:name w:val="ListLabel 737"/>
    <w:qFormat/>
    <w:rPr>
      <w:rFonts w:cs="OpenSymbol"/>
    </w:rPr>
  </w:style>
  <w:style w:type="character" w:styleId="ListLabel738">
    <w:name w:val="ListLabel 738"/>
    <w:qFormat/>
    <w:rPr>
      <w:rFonts w:cs="Symbol"/>
      <w:sz w:val="24"/>
    </w:rPr>
  </w:style>
  <w:style w:type="character" w:styleId="ListLabel739">
    <w:name w:val="ListLabel 739"/>
    <w:qFormat/>
    <w:rPr>
      <w:rFonts w:cs="Symbol"/>
      <w:sz w:val="24"/>
    </w:rPr>
  </w:style>
  <w:style w:type="character" w:styleId="ListLabel740">
    <w:name w:val="ListLabel 740"/>
    <w:qFormat/>
    <w:rPr>
      <w:rFonts w:cs="OpenSymbol"/>
    </w:rPr>
  </w:style>
  <w:style w:type="character" w:styleId="ListLabel741">
    <w:name w:val="ListLabel 741"/>
    <w:qFormat/>
    <w:rPr>
      <w:rFonts w:cs="OpenSymbol"/>
    </w:rPr>
  </w:style>
  <w:style w:type="character" w:styleId="ListLabel742">
    <w:name w:val="ListLabel 742"/>
    <w:qFormat/>
    <w:rPr>
      <w:rFonts w:cs="Symbol"/>
    </w:rPr>
  </w:style>
  <w:style w:type="character" w:styleId="ListLabel743">
    <w:name w:val="ListLabel 743"/>
    <w:qFormat/>
    <w:rPr>
      <w:rFonts w:cs="OpenSymbol"/>
    </w:rPr>
  </w:style>
  <w:style w:type="character" w:styleId="ListLabel744">
    <w:name w:val="ListLabel 744"/>
    <w:qFormat/>
    <w:rPr>
      <w:rFonts w:cs="OpenSymbol"/>
    </w:rPr>
  </w:style>
  <w:style w:type="character" w:styleId="ListLabel745">
    <w:name w:val="ListLabel 745"/>
    <w:qFormat/>
    <w:rPr>
      <w:rFonts w:cs="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Symbol"/>
      <w:sz w:val="24"/>
    </w:rPr>
  </w:style>
  <w:style w:type="character" w:styleId="ListLabel749">
    <w:name w:val="ListLabel 749"/>
    <w:qFormat/>
    <w:rPr>
      <w:rFonts w:cs="Courier New"/>
    </w:rPr>
  </w:style>
  <w:style w:type="character" w:styleId="ListLabel750">
    <w:name w:val="ListLabel 750"/>
    <w:qFormat/>
    <w:rPr>
      <w:rFonts w:cs="Wingdings"/>
    </w:rPr>
  </w:style>
  <w:style w:type="character" w:styleId="ListLabel751">
    <w:name w:val="ListLabel 751"/>
    <w:qFormat/>
    <w:rPr>
      <w:rFonts w:cs="Symbol"/>
    </w:rPr>
  </w:style>
  <w:style w:type="character" w:styleId="ListLabel752">
    <w:name w:val="ListLabel 752"/>
    <w:qFormat/>
    <w:rPr>
      <w:rFonts w:cs="Courier New"/>
    </w:rPr>
  </w:style>
  <w:style w:type="character" w:styleId="ListLabel753">
    <w:name w:val="ListLabel 753"/>
    <w:qFormat/>
    <w:rPr>
      <w:rFonts w:cs="Wingdings"/>
    </w:rPr>
  </w:style>
  <w:style w:type="character" w:styleId="ListLabel754">
    <w:name w:val="ListLabel 754"/>
    <w:qFormat/>
    <w:rPr>
      <w:rFonts w:cs="Symbol"/>
    </w:rPr>
  </w:style>
  <w:style w:type="character" w:styleId="ListLabel755">
    <w:name w:val="ListLabel 755"/>
    <w:qFormat/>
    <w:rPr>
      <w:rFonts w:cs="Courier New"/>
    </w:rPr>
  </w:style>
  <w:style w:type="character" w:styleId="ListLabel756">
    <w:name w:val="ListLabel 756"/>
    <w:qFormat/>
    <w:rPr>
      <w:rFonts w:cs="Wingdings"/>
    </w:rPr>
  </w:style>
  <w:style w:type="character" w:styleId="ListLabel757">
    <w:name w:val="ListLabel 757"/>
    <w:qFormat/>
    <w:rPr>
      <w:rFonts w:cs="Wingdings"/>
      <w:sz w:val="24"/>
    </w:rPr>
  </w:style>
  <w:style w:type="character" w:styleId="ListLabel758">
    <w:name w:val="ListLabel 758"/>
    <w:qFormat/>
    <w:rPr>
      <w:rFonts w:cs="Courier New"/>
    </w:rPr>
  </w:style>
  <w:style w:type="character" w:styleId="ListLabel759">
    <w:name w:val="ListLabel 759"/>
    <w:qFormat/>
    <w:rPr>
      <w:rFonts w:cs="Wingdings"/>
    </w:rPr>
  </w:style>
  <w:style w:type="character" w:styleId="ListLabel760">
    <w:name w:val="ListLabel 760"/>
    <w:qFormat/>
    <w:rPr>
      <w:rFonts w:cs="Symbol"/>
    </w:rPr>
  </w:style>
  <w:style w:type="character" w:styleId="ListLabel761">
    <w:name w:val="ListLabel 761"/>
    <w:qFormat/>
    <w:rPr>
      <w:rFonts w:cs="Courier New"/>
    </w:rPr>
  </w:style>
  <w:style w:type="character" w:styleId="ListLabel762">
    <w:name w:val="ListLabel 762"/>
    <w:qFormat/>
    <w:rPr>
      <w:rFonts w:cs="Wingdings"/>
    </w:rPr>
  </w:style>
  <w:style w:type="character" w:styleId="ListLabel763">
    <w:name w:val="ListLabel 763"/>
    <w:qFormat/>
    <w:rPr>
      <w:rFonts w:cs="Symbol"/>
    </w:rPr>
  </w:style>
  <w:style w:type="character" w:styleId="ListLabel764">
    <w:name w:val="ListLabel 764"/>
    <w:qFormat/>
    <w:rPr>
      <w:rFonts w:cs="Courier New"/>
    </w:rPr>
  </w:style>
  <w:style w:type="character" w:styleId="ListLabel765">
    <w:name w:val="ListLabel 765"/>
    <w:qFormat/>
    <w:rPr>
      <w:rFonts w:cs="Wingdings"/>
    </w:rPr>
  </w:style>
  <w:style w:type="character" w:styleId="ListLabel766">
    <w:name w:val="ListLabel 766"/>
    <w:qFormat/>
    <w:rPr>
      <w:rFonts w:cs="Wingdings"/>
      <w:sz w:val="24"/>
    </w:rPr>
  </w:style>
  <w:style w:type="character" w:styleId="ListLabel767">
    <w:name w:val="ListLabel 767"/>
    <w:qFormat/>
    <w:rPr>
      <w:rFonts w:cs="Courier New"/>
    </w:rPr>
  </w:style>
  <w:style w:type="character" w:styleId="ListLabel768">
    <w:name w:val="ListLabel 768"/>
    <w:qFormat/>
    <w:rPr>
      <w:rFonts w:cs="Wingdings"/>
    </w:rPr>
  </w:style>
  <w:style w:type="character" w:styleId="ListLabel769">
    <w:name w:val="ListLabel 769"/>
    <w:qFormat/>
    <w:rPr>
      <w:rFonts w:cs="Symbol"/>
    </w:rPr>
  </w:style>
  <w:style w:type="character" w:styleId="ListLabel770">
    <w:name w:val="ListLabel 770"/>
    <w:qFormat/>
    <w:rPr>
      <w:rFonts w:cs="Courier New"/>
    </w:rPr>
  </w:style>
  <w:style w:type="character" w:styleId="ListLabel771">
    <w:name w:val="ListLabel 771"/>
    <w:qFormat/>
    <w:rPr>
      <w:rFonts w:cs="Wingdings"/>
    </w:rPr>
  </w:style>
  <w:style w:type="character" w:styleId="ListLabel772">
    <w:name w:val="ListLabel 772"/>
    <w:qFormat/>
    <w:rPr>
      <w:rFonts w:cs="Symbol"/>
    </w:rPr>
  </w:style>
  <w:style w:type="character" w:styleId="ListLabel773">
    <w:name w:val="ListLabel 773"/>
    <w:qFormat/>
    <w:rPr>
      <w:rFonts w:cs="Courier New"/>
    </w:rPr>
  </w:style>
  <w:style w:type="character" w:styleId="ListLabel774">
    <w:name w:val="ListLabel 774"/>
    <w:qFormat/>
    <w:rPr>
      <w:rFonts w:cs="Wingdings"/>
    </w:rPr>
  </w:style>
  <w:style w:type="character" w:styleId="ListLabel775">
    <w:name w:val="ListLabel 775"/>
    <w:qFormat/>
    <w:rPr>
      <w:rFonts w:cs="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Symbol"/>
    </w:rPr>
  </w:style>
  <w:style w:type="character" w:styleId="ListLabel782">
    <w:name w:val="ListLabel 782"/>
    <w:qFormat/>
    <w:rPr>
      <w:rFonts w:cs="OpenSymbol"/>
    </w:rPr>
  </w:style>
  <w:style w:type="character" w:styleId="ListLabel783">
    <w:name w:val="ListLabel 783"/>
    <w:qFormat/>
    <w:rPr>
      <w:rFonts w:cs="OpenSymbol"/>
    </w:rPr>
  </w:style>
  <w:style w:type="character" w:styleId="ListLabel784">
    <w:name w:val="ListLabel 784"/>
    <w:qFormat/>
    <w:rPr>
      <w:rFonts w:cs="OpenSymbol"/>
      <w:sz w:val="24"/>
    </w:rPr>
  </w:style>
  <w:style w:type="character" w:styleId="ListLabel785">
    <w:name w:val="ListLabel 785"/>
    <w:qFormat/>
    <w:rPr>
      <w:rFonts w:cs="OpenSymbol"/>
    </w:rPr>
  </w:style>
  <w:style w:type="character" w:styleId="ListLabel786">
    <w:name w:val="ListLabel 786"/>
    <w:qFormat/>
    <w:rPr>
      <w:rFonts w:cs="OpenSymbol"/>
    </w:rPr>
  </w:style>
  <w:style w:type="character" w:styleId="ListLabel787">
    <w:name w:val="ListLabel 787"/>
    <w:qFormat/>
    <w:rPr>
      <w:rFonts w:cs="OpenSymbol"/>
    </w:rPr>
  </w:style>
  <w:style w:type="character" w:styleId="ListLabel788">
    <w:name w:val="ListLabel 788"/>
    <w:qFormat/>
    <w:rPr>
      <w:rFonts w:cs="OpenSymbol"/>
    </w:rPr>
  </w:style>
  <w:style w:type="character" w:styleId="ListLabel789">
    <w:name w:val="ListLabel 789"/>
    <w:qFormat/>
    <w:rPr>
      <w:rFonts w:cs="OpenSymbol"/>
    </w:rPr>
  </w:style>
  <w:style w:type="character" w:styleId="ListLabel790">
    <w:name w:val="ListLabel 790"/>
    <w:qFormat/>
    <w:rPr>
      <w:rFonts w:cs="OpenSymbol"/>
    </w:rPr>
  </w:style>
  <w:style w:type="character" w:styleId="ListLabel791">
    <w:name w:val="ListLabel 791"/>
    <w:qFormat/>
    <w:rPr>
      <w:rFonts w:cs="OpenSymbol"/>
    </w:rPr>
  </w:style>
  <w:style w:type="character" w:styleId="ListLabel792">
    <w:name w:val="ListLabel 792"/>
    <w:qFormat/>
    <w:rPr>
      <w:rFonts w:cs="OpenSymbol"/>
    </w:rPr>
  </w:style>
  <w:style w:type="character" w:styleId="ListLabel793">
    <w:name w:val="ListLabel 793"/>
    <w:qFormat/>
    <w:rPr>
      <w:rFonts w:cs="OpenSymbol"/>
    </w:rPr>
  </w:style>
  <w:style w:type="character" w:styleId="ListLabel794">
    <w:name w:val="ListLabel 794"/>
    <w:qFormat/>
    <w:rPr>
      <w:rFonts w:cs="OpenSymbol"/>
    </w:rPr>
  </w:style>
  <w:style w:type="character" w:styleId="ListLabel795">
    <w:name w:val="ListLabel 795"/>
    <w:qFormat/>
    <w:rPr>
      <w:rFonts w:cs="OpenSymbol"/>
    </w:rPr>
  </w:style>
  <w:style w:type="character" w:styleId="ListLabel796">
    <w:name w:val="ListLabel 796"/>
    <w:qFormat/>
    <w:rPr>
      <w:rFonts w:cs="OpenSymbol"/>
    </w:rPr>
  </w:style>
  <w:style w:type="character" w:styleId="ListLabel797">
    <w:name w:val="ListLabel 797"/>
    <w:qFormat/>
    <w:rPr>
      <w:rFonts w:cs="OpenSymbol"/>
    </w:rPr>
  </w:style>
  <w:style w:type="character" w:styleId="ListLabel798">
    <w:name w:val="ListLabel 798"/>
    <w:qFormat/>
    <w:rPr>
      <w:rFonts w:cs="OpenSymbol"/>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Open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Open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OpenSymbol"/>
    </w:rPr>
  </w:style>
  <w:style w:type="character" w:styleId="ListLabel808">
    <w:name w:val="ListLabel 808"/>
    <w:qFormat/>
    <w:rPr>
      <w:rFonts w:cs="OpenSymbol"/>
    </w:rPr>
  </w:style>
  <w:style w:type="character" w:styleId="ListLabel809">
    <w:name w:val="ListLabel 809"/>
    <w:qFormat/>
    <w:rPr>
      <w:rFonts w:cs="OpenSymbol"/>
    </w:rPr>
  </w:style>
  <w:style w:type="character" w:styleId="ListLabel810">
    <w:name w:val="ListLabel 810"/>
    <w:qFormat/>
    <w:rPr>
      <w:rFonts w:cs="OpenSymbol"/>
    </w:rPr>
  </w:style>
  <w:style w:type="character" w:styleId="ListLabel811">
    <w:name w:val="ListLabel 811"/>
    <w:qFormat/>
    <w:rPr>
      <w:rFonts w:cs="OpenSymbol"/>
      <w:b/>
      <w:sz w:val="24"/>
    </w:rPr>
  </w:style>
  <w:style w:type="character" w:styleId="ListLabel812">
    <w:name w:val="ListLabel 812"/>
    <w:qFormat/>
    <w:rPr>
      <w:rFonts w:cs="OpenSymbol"/>
    </w:rPr>
  </w:style>
  <w:style w:type="character" w:styleId="ListLabel813">
    <w:name w:val="ListLabel 813"/>
    <w:qFormat/>
    <w:rPr>
      <w:rFonts w:cs="OpenSymbol"/>
    </w:rPr>
  </w:style>
  <w:style w:type="character" w:styleId="ListLabel814">
    <w:name w:val="ListLabel 814"/>
    <w:qFormat/>
    <w:rPr>
      <w:rFonts w:cs="OpenSymbol"/>
    </w:rPr>
  </w:style>
  <w:style w:type="character" w:styleId="ListLabel815">
    <w:name w:val="ListLabel 815"/>
    <w:qFormat/>
    <w:rPr>
      <w:rFonts w:cs="OpenSymbol"/>
    </w:rPr>
  </w:style>
  <w:style w:type="character" w:styleId="ListLabel816">
    <w:name w:val="ListLabel 816"/>
    <w:qFormat/>
    <w:rPr>
      <w:rFonts w:cs="OpenSymbol"/>
    </w:rPr>
  </w:style>
  <w:style w:type="character" w:styleId="ListLabel817">
    <w:name w:val="ListLabel 817"/>
    <w:qFormat/>
    <w:rPr>
      <w:rFonts w:cs="OpenSymbol"/>
    </w:rPr>
  </w:style>
  <w:style w:type="character" w:styleId="ListLabel818">
    <w:name w:val="ListLabel 818"/>
    <w:qFormat/>
    <w:rPr>
      <w:rFonts w:cs="OpenSymbol"/>
    </w:rPr>
  </w:style>
  <w:style w:type="character" w:styleId="ListLabel819">
    <w:name w:val="ListLabel 819"/>
    <w:qFormat/>
    <w:rPr>
      <w:rFonts w:cs="OpenSymbol"/>
    </w:rPr>
  </w:style>
  <w:style w:type="character" w:styleId="ListLabel820">
    <w:name w:val="ListLabel 820"/>
    <w:rPr>
      <w:rFonts w:cs="Symbol"/>
      <w:sz w:val="24"/>
    </w:rPr>
  </w:style>
  <w:style w:type="character" w:styleId="ListLabel821">
    <w:name w:val="ListLabel 821"/>
    <w:rPr>
      <w:rFonts w:cs="OpenSymbol"/>
    </w:rPr>
  </w:style>
  <w:style w:type="character" w:styleId="ListLabel822">
    <w:name w:val="ListLabel 822"/>
    <w:rPr>
      <w:rFonts w:cs="Symbol"/>
    </w:rPr>
  </w:style>
  <w:style w:type="character" w:styleId="ListLabel823">
    <w:name w:val="ListLabel 823"/>
    <w:rPr>
      <w:rFonts w:cs="Courier New"/>
    </w:rPr>
  </w:style>
  <w:style w:type="character" w:styleId="ListLabel824">
    <w:name w:val="ListLabel 824"/>
    <w:rPr>
      <w:rFonts w:cs="Wingdings"/>
    </w:rPr>
  </w:style>
  <w:style w:type="character" w:styleId="ListLabel825">
    <w:name w:val="ListLabel 825"/>
    <w:rPr>
      <w:rFonts w:cs="Wingdings"/>
      <w:sz w:val="24"/>
    </w:rPr>
  </w:style>
  <w:style w:type="character" w:styleId="ListLabel826">
    <w:name w:val="ListLabel 826"/>
    <w:rPr>
      <w:rFonts w:cs="OpenSymbol"/>
      <w:sz w:val="24"/>
    </w:rPr>
  </w:style>
  <w:style w:type="character" w:styleId="ListLabel827">
    <w:name w:val="ListLabel 827"/>
    <w:rPr>
      <w:rFonts w:cs="OpenSymbol"/>
      <w:b/>
      <w:sz w:val="24"/>
    </w:rPr>
  </w:style>
  <w:style w:type="character" w:styleId="ListLabel828">
    <w:name w:val="ListLabel 828"/>
    <w:rPr>
      <w:rFonts w:cs="Symbol"/>
      <w:sz w:val="24"/>
    </w:rPr>
  </w:style>
  <w:style w:type="character" w:styleId="ListLabel829">
    <w:name w:val="ListLabel 829"/>
    <w:rPr>
      <w:rFonts w:cs="OpenSymbol"/>
    </w:rPr>
  </w:style>
  <w:style w:type="character" w:styleId="ListLabel830">
    <w:name w:val="ListLabel 830"/>
    <w:rPr>
      <w:rFonts w:cs="Symbol"/>
    </w:rPr>
  </w:style>
  <w:style w:type="character" w:styleId="ListLabel831">
    <w:name w:val="ListLabel 831"/>
    <w:rPr>
      <w:rFonts w:cs="Courier New"/>
    </w:rPr>
  </w:style>
  <w:style w:type="character" w:styleId="ListLabel832">
    <w:name w:val="ListLabel 832"/>
    <w:rPr>
      <w:rFonts w:cs="Wingdings"/>
    </w:rPr>
  </w:style>
  <w:style w:type="character" w:styleId="ListLabel833">
    <w:name w:val="ListLabel 833"/>
    <w:rPr>
      <w:rFonts w:cs="Wingdings"/>
      <w:sz w:val="24"/>
    </w:rPr>
  </w:style>
  <w:style w:type="character" w:styleId="ListLabel834">
    <w:name w:val="ListLabel 834"/>
    <w:rPr>
      <w:rFonts w:cs="Symbol"/>
      <w:b/>
      <w:sz w:val="24"/>
    </w:rPr>
  </w:style>
  <w:style w:type="character" w:styleId="ListLabel835">
    <w:name w:val="ListLabel 835"/>
    <w:rPr>
      <w:rFonts w:cs="Symbol"/>
      <w:sz w:val="24"/>
    </w:rPr>
  </w:style>
  <w:style w:type="character" w:styleId="ListLabel836">
    <w:name w:val="ListLabel 836"/>
    <w:rPr>
      <w:rFonts w:cs="OpenSymbol"/>
    </w:rPr>
  </w:style>
  <w:style w:type="character" w:styleId="ListLabel837">
    <w:name w:val="ListLabel 837"/>
    <w:rPr>
      <w:rFonts w:cs="Symbol"/>
    </w:rPr>
  </w:style>
  <w:style w:type="character" w:styleId="ListLabel838">
    <w:name w:val="ListLabel 838"/>
    <w:rPr>
      <w:rFonts w:cs="Wingdings"/>
      <w:sz w:val="24"/>
    </w:rPr>
  </w:style>
  <w:style w:type="character" w:styleId="ListLabel839">
    <w:name w:val="ListLabel 839"/>
    <w:rPr>
      <w:rFonts w:cs="Courier New"/>
    </w:rPr>
  </w:style>
  <w:style w:type="character" w:styleId="ListLabel840">
    <w:name w:val="ListLabel 840"/>
    <w:rPr>
      <w:rFonts w:cs="Wingdings"/>
    </w:rPr>
  </w:style>
  <w:style w:type="character" w:styleId="ListLabel841">
    <w:name w:val="ListLabel 841"/>
    <w:rPr>
      <w:rFonts w:cs="Symbol"/>
      <w:b/>
      <w:sz w:val="24"/>
    </w:rPr>
  </w:style>
  <w:style w:type="character" w:styleId="ListLabel842">
    <w:name w:val="ListLabel 842"/>
    <w:rPr>
      <w:rFonts w:cs="MT Extra"/>
    </w:rPr>
  </w:style>
  <w:style w:type="character" w:styleId="ListLabel843">
    <w:name w:val="ListLabel 843"/>
    <w:rPr>
      <w:rFonts w:cs="Symbol"/>
      <w:sz w:val="24"/>
    </w:rPr>
  </w:style>
  <w:style w:type="character" w:styleId="ListLabel844">
    <w:name w:val="ListLabel 844"/>
    <w:rPr>
      <w:rFonts w:cs="OpenSymbol"/>
    </w:rPr>
  </w:style>
  <w:style w:type="character" w:styleId="ListLabel845">
    <w:name w:val="ListLabel 845"/>
    <w:rPr>
      <w:rFonts w:cs="Symbol"/>
    </w:rPr>
  </w:style>
  <w:style w:type="character" w:styleId="ListLabel846">
    <w:name w:val="ListLabel 846"/>
    <w:rPr>
      <w:rFonts w:cs="Wingdings"/>
      <w:sz w:val="24"/>
    </w:rPr>
  </w:style>
  <w:style w:type="character" w:styleId="ListLabel847">
    <w:name w:val="ListLabel 847"/>
    <w:rPr>
      <w:rFonts w:cs="Courier New"/>
    </w:rPr>
  </w:style>
  <w:style w:type="character" w:styleId="ListLabel848">
    <w:name w:val="ListLabel 848"/>
    <w:rPr>
      <w:rFonts w:cs="Wingdings"/>
    </w:rPr>
  </w:style>
  <w:style w:type="character" w:styleId="ListLabel849">
    <w:name w:val="ListLabel 849"/>
    <w:rPr>
      <w:rFonts w:cs="Symbol"/>
      <w:b/>
      <w:sz w:val="24"/>
    </w:rPr>
  </w:style>
  <w:style w:type="character" w:styleId="ListLabel850">
    <w:name w:val="ListLabel 850"/>
    <w:rPr>
      <w:rFonts w:cs="MT Extra"/>
    </w:rPr>
  </w:style>
  <w:style w:type="character" w:styleId="ListLabel851">
    <w:name w:val="ListLabel 851"/>
    <w:rPr>
      <w:rFonts w:cs="Symbol"/>
      <w:sz w:val="24"/>
    </w:rPr>
  </w:style>
  <w:style w:type="character" w:styleId="ListLabel852">
    <w:name w:val="ListLabel 852"/>
    <w:rPr>
      <w:rFonts w:cs="OpenSymbol"/>
    </w:rPr>
  </w:style>
  <w:style w:type="character" w:styleId="ListLabel853">
    <w:name w:val="ListLabel 853"/>
    <w:rPr>
      <w:rFonts w:cs="Symbol"/>
    </w:rPr>
  </w:style>
  <w:style w:type="character" w:styleId="ListLabel854">
    <w:name w:val="ListLabel 854"/>
    <w:rPr>
      <w:rFonts w:cs="Wingdings"/>
      <w:sz w:val="24"/>
    </w:rPr>
  </w:style>
  <w:style w:type="character" w:styleId="ListLabel855">
    <w:name w:val="ListLabel 855"/>
    <w:rPr>
      <w:rFonts w:cs="Courier New"/>
    </w:rPr>
  </w:style>
  <w:style w:type="character" w:styleId="ListLabel856">
    <w:name w:val="ListLabel 856"/>
    <w:rPr>
      <w:rFonts w:cs="Wingdings"/>
    </w:rPr>
  </w:style>
  <w:style w:type="character" w:styleId="ListLabel857">
    <w:name w:val="ListLabel 857"/>
    <w:rPr>
      <w:rFonts w:cs="Symbol"/>
      <w:b/>
      <w:sz w:val="24"/>
    </w:rPr>
  </w:style>
  <w:style w:type="character" w:styleId="ListLabel858">
    <w:name w:val="ListLabel 858"/>
    <w:rPr>
      <w:rFonts w:cs="MT Extra"/>
    </w:rPr>
  </w:style>
  <w:style w:type="character" w:styleId="ListLabel859">
    <w:name w:val="ListLabel 859"/>
    <w:rPr>
      <w:rFonts w:cs="Symbol"/>
      <w:sz w:val="24"/>
    </w:rPr>
  </w:style>
  <w:style w:type="character" w:styleId="ListLabel860">
    <w:name w:val="ListLabel 860"/>
    <w:rPr>
      <w:rFonts w:cs="OpenSymbol"/>
    </w:rPr>
  </w:style>
  <w:style w:type="character" w:styleId="ListLabel861">
    <w:name w:val="ListLabel 861"/>
    <w:rPr>
      <w:rFonts w:cs="Symbol"/>
    </w:rPr>
  </w:style>
  <w:style w:type="character" w:styleId="ListLabel862">
    <w:name w:val="ListLabel 862"/>
    <w:rPr>
      <w:rFonts w:cs="Wingdings"/>
      <w:sz w:val="24"/>
    </w:rPr>
  </w:style>
  <w:style w:type="character" w:styleId="ListLabel863">
    <w:name w:val="ListLabel 863"/>
    <w:rPr>
      <w:rFonts w:cs="Courier New"/>
    </w:rPr>
  </w:style>
  <w:style w:type="character" w:styleId="ListLabel864">
    <w:name w:val="ListLabel 864"/>
    <w:rPr>
      <w:rFonts w:cs="Wingdings"/>
    </w:rPr>
  </w:style>
  <w:style w:type="character" w:styleId="ListLabel865">
    <w:name w:val="ListLabel 865"/>
    <w:rPr>
      <w:rFonts w:cs="Symbol"/>
      <w:b/>
      <w:sz w:val="24"/>
    </w:rPr>
  </w:style>
  <w:style w:type="character" w:styleId="ListLabel866">
    <w:name w:val="ListLabel 866"/>
    <w:rPr>
      <w:rFonts w:cs="MT Extra"/>
    </w:rPr>
  </w:style>
  <w:style w:type="character" w:styleId="ListLabel867">
    <w:name w:val="ListLabel 867"/>
    <w:rPr>
      <w:rFonts w:cs="Symbol"/>
      <w:sz w:val="24"/>
    </w:rPr>
  </w:style>
  <w:style w:type="character" w:styleId="ListLabel868">
    <w:name w:val="ListLabel 868"/>
    <w:rPr>
      <w:rFonts w:cs="OpenSymbol"/>
    </w:rPr>
  </w:style>
  <w:style w:type="character" w:styleId="ListLabel869">
    <w:name w:val="ListLabel 869"/>
    <w:rPr>
      <w:rFonts w:cs="Symbol"/>
    </w:rPr>
  </w:style>
  <w:style w:type="character" w:styleId="ListLabel870">
    <w:name w:val="ListLabel 870"/>
    <w:rPr>
      <w:rFonts w:cs="Wingdings"/>
      <w:sz w:val="24"/>
    </w:rPr>
  </w:style>
  <w:style w:type="character" w:styleId="ListLabel871">
    <w:name w:val="ListLabel 871"/>
    <w:rPr>
      <w:rFonts w:cs="Courier New"/>
    </w:rPr>
  </w:style>
  <w:style w:type="character" w:styleId="ListLabel872">
    <w:name w:val="ListLabel 872"/>
    <w:rPr>
      <w:rFonts w:cs="Wingdings"/>
    </w:rPr>
  </w:style>
  <w:style w:type="character" w:styleId="ListLabel873">
    <w:name w:val="ListLabel 873"/>
    <w:rPr>
      <w:rFonts w:cs="Symbol"/>
      <w:b/>
      <w:sz w:val="24"/>
    </w:rPr>
  </w:style>
  <w:style w:type="character" w:styleId="ListLabel874">
    <w:name w:val="ListLabel 874"/>
    <w:rPr>
      <w:rFonts w:cs="MT Extra"/>
    </w:rPr>
  </w:style>
  <w:style w:type="character" w:styleId="ListLabel875">
    <w:name w:val="ListLabel 875"/>
    <w:rPr>
      <w:rFonts w:cs="Symbol"/>
      <w:sz w:val="24"/>
    </w:rPr>
  </w:style>
  <w:style w:type="character" w:styleId="ListLabel876">
    <w:name w:val="ListLabel 876"/>
    <w:rPr>
      <w:rFonts w:cs="OpenSymbol"/>
    </w:rPr>
  </w:style>
  <w:style w:type="character" w:styleId="ListLabel877">
    <w:name w:val="ListLabel 877"/>
    <w:rPr>
      <w:rFonts w:cs="Symbol"/>
    </w:rPr>
  </w:style>
  <w:style w:type="character" w:styleId="ListLabel878">
    <w:name w:val="ListLabel 878"/>
    <w:rPr>
      <w:rFonts w:cs="Wingdings"/>
      <w:sz w:val="24"/>
    </w:rPr>
  </w:style>
  <w:style w:type="character" w:styleId="ListLabel879">
    <w:name w:val="ListLabel 879"/>
    <w:rPr>
      <w:rFonts w:cs="Courier New"/>
    </w:rPr>
  </w:style>
  <w:style w:type="character" w:styleId="ListLabel880">
    <w:name w:val="ListLabel 880"/>
    <w:rPr>
      <w:rFonts w:cs="Wingdings"/>
    </w:rPr>
  </w:style>
  <w:style w:type="character" w:styleId="ListLabel881">
    <w:name w:val="ListLabel 881"/>
    <w:rPr>
      <w:rFonts w:cs="Symbol"/>
      <w:b/>
      <w:sz w:val="24"/>
    </w:rPr>
  </w:style>
  <w:style w:type="character" w:styleId="ListLabel882">
    <w:name w:val="ListLabel 882"/>
    <w:rPr>
      <w:rFonts w:cs="MT Extra"/>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uiPriority w:val="34"/>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ChapterTitle" w:customStyle="1">
    <w:name w:val="ChapterTitle"/>
    <w:qFormat/>
    <w:rsid w:val="00296d55"/>
    <w:basedOn w:val="Normal"/>
    <w:pPr>
      <w:keepNext/>
      <w:widowControl/>
      <w:spacing w:before="0" w:after="360"/>
      <w:jc w:val="center"/>
    </w:pPr>
    <w:rPr>
      <w:rFonts w:eastAsia="Calibri"/>
      <w:b/>
      <w:color w:val="00000A"/>
      <w:sz w:val="32"/>
      <w:szCs w:val="22"/>
      <w:lang w:eastAsia="it-IT" w:bidi="it-IT"/>
    </w:rPr>
  </w:style>
  <w:style w:type="paragraph" w:styleId="Numerazioneperbuste" w:customStyle="1">
    <w:name w:val="Numerazione per buste"/>
    <w:qFormat/>
    <w:rsid w:val="002719ef"/>
    <w:basedOn w:val="Normal"/>
    <w:pPr>
      <w:widowControl/>
      <w:suppressAutoHyphens w:val="false"/>
      <w:spacing w:lineRule="auto" w:line="360" w:before="120" w:after="120"/>
      <w:jc w:val="both"/>
      <w:textAlignment w:val="auto"/>
    </w:pPr>
    <w:rPr>
      <w:sz w:val="24"/>
      <w:szCs w:val="24"/>
      <w:lang w:eastAsia="it-IT"/>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numbering" w:styleId="NoList" w:default="1">
    <w:name w:val="No List"/>
    <w:uiPriority w:val="99"/>
    <w:qFormat/>
    <w:semiHidden/>
    <w:unhideWhenUsed/>
  </w:style>
  <w:style w:type="numbering" w:styleId="WW8Num5">
    <w:name w:val="WW8Num5"/>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8700-1883-40B1-9640-54104AB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2018-12-20T12:01:35Z</cp:lastPrinted>
  <dcterms:modified xsi:type="dcterms:W3CDTF">2019-01-23T12:33:02Z</dcterms:modified>
  <cp:revision>41</cp:revision>
</cp:coreProperties>
</file>