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sz w:val="23"/>
          <w:szCs w:val="23"/>
        </w:rPr>
      </w:pPr>
      <w:r>
        <w:rPr>
          <w:b w:val="false"/>
          <w:bCs w:val="false"/>
          <w:sz w:val="23"/>
          <w:szCs w:val="23"/>
        </w:rPr>
        <w:t>Spett.le</w:t>
      </w:r>
    </w:p>
    <w:p>
      <w:pPr>
        <w:pStyle w:val="Normal"/>
        <w:tabs>
          <w:tab w:val="left" w:pos="5160" w:leader="none"/>
        </w:tabs>
        <w:spacing w:before="119" w:after="0"/>
        <w:contextualSpacing/>
        <w:jc w:val="right"/>
        <w:rPr>
          <w:b/>
          <w:sz w:val="23"/>
          <w:szCs w:val="23"/>
        </w:rPr>
      </w:pPr>
      <w:r>
        <w:rPr>
          <w:b/>
          <w:sz w:val="23"/>
          <w:szCs w:val="23"/>
        </w:rPr>
        <w:t>Centrale Unica di Committenza</w:t>
      </w:r>
    </w:p>
    <w:p>
      <w:pPr>
        <w:pStyle w:val="Normal"/>
        <w:tabs>
          <w:tab w:val="left" w:pos="5160" w:leader="none"/>
        </w:tabs>
        <w:spacing w:before="119" w:after="0"/>
        <w:contextualSpacing/>
        <w:jc w:val="right"/>
        <w:rPr>
          <w:b/>
          <w:sz w:val="23"/>
          <w:szCs w:val="23"/>
        </w:rPr>
      </w:pPr>
      <w:r>
        <w:rPr>
          <w:b/>
          <w:sz w:val="23"/>
          <w:szCs w:val="23"/>
        </w:rPr>
        <w:t>dell’Unione Tresinaro Secchia</w:t>
      </w:r>
    </w:p>
    <w:p>
      <w:pPr>
        <w:pStyle w:val="Normal"/>
        <w:tabs>
          <w:tab w:val="left" w:pos="5160" w:leader="none"/>
        </w:tabs>
        <w:spacing w:before="119" w:after="0"/>
        <w:contextualSpacing/>
        <w:jc w:val="right"/>
        <w:rPr>
          <w:b w:val="false"/>
          <w:bCs w:val="false"/>
          <w:sz w:val="23"/>
          <w:szCs w:val="23"/>
        </w:rPr>
      </w:pPr>
      <w:r>
        <w:rPr>
          <w:b w:val="false"/>
          <w:bCs w:val="false"/>
          <w:sz w:val="23"/>
          <w:szCs w:val="23"/>
        </w:rPr>
        <w:t>Corso Vallisneri, n. 6</w:t>
      </w:r>
    </w:p>
    <w:p>
      <w:pPr>
        <w:pStyle w:val="Normal"/>
        <w:widowControl/>
        <w:tabs>
          <w:tab w:val="left" w:pos="5160" w:leader="none"/>
        </w:tabs>
        <w:spacing w:before="119" w:after="0"/>
        <w:contextualSpacing/>
        <w:jc w:val="right"/>
        <w:rPr>
          <w:b w:val="false"/>
          <w:bCs w:val="false"/>
          <w:sz w:val="23"/>
          <w:szCs w:val="23"/>
        </w:rPr>
      </w:pPr>
      <w:r>
        <w:rPr>
          <w:b w:val="false"/>
          <w:bCs w:val="false"/>
          <w:sz w:val="23"/>
          <w:szCs w:val="23"/>
        </w:rPr>
        <w:t>42019 Scandiano (RE)</w:t>
      </w:r>
    </w:p>
    <w:p>
      <w:pPr>
        <w:pStyle w:val="Titolo6"/>
        <w:widowControl/>
        <w:spacing w:before="0" w:after="0"/>
        <w:ind w:left="0" w:right="0" w:hanging="0"/>
        <w:contextualSpacing/>
        <w:jc w:val="right"/>
        <w:rPr>
          <w:rFonts w:eastAsia="Times New Roman" w:cs="Times New Roman"/>
          <w:b w:val="false"/>
          <w:bCs w:val="false"/>
          <w:color w:val="00000A"/>
          <w:sz w:val="23"/>
          <w:szCs w:val="23"/>
          <w:u w:val="single"/>
          <w:lang w:val="it-IT" w:eastAsia="zh-CN" w:bidi="ar-SA"/>
        </w:rPr>
      </w:pPr>
      <w:bookmarkStart w:id="0" w:name="OLE_LINK20"/>
      <w:bookmarkEnd w:id="0"/>
      <w:r>
        <w:rPr>
          <w:rFonts w:eastAsia="Times New Roman" w:cs="Times New Roman"/>
          <w:b w:val="false"/>
          <w:bCs w:val="false"/>
          <w:color w:val="00000A"/>
          <w:sz w:val="23"/>
          <w:szCs w:val="23"/>
          <w:u w:val="single"/>
          <w:lang w:val="it-IT" w:eastAsia="zh-CN" w:bidi="ar-SA"/>
        </w:rPr>
        <w:t>Inviato mediante Piattaforma SATER</w:t>
      </w:r>
    </w:p>
    <w:p>
      <w:pPr>
        <w:pStyle w:val="Normal"/>
        <w:ind w:left="360" w:right="0" w:hanging="0"/>
        <w:jc w:val="center"/>
        <w:rPr>
          <w:rFonts w:cs="Tahoma"/>
          <w:sz w:val="23"/>
          <w:szCs w:val="23"/>
        </w:rPr>
      </w:pPr>
      <w:bookmarkStart w:id="1" w:name="OLE_LINK201"/>
      <w:bookmarkStart w:id="2" w:name="OLE_LINK201"/>
      <w:bookmarkEnd w:id="2"/>
      <w:r>
        <w:rPr>
          <w:rFonts w:cs="Tahoma"/>
          <w:sz w:val="23"/>
          <w:szCs w:val="23"/>
        </w:rPr>
      </w:r>
    </w:p>
    <w:p>
      <w:pPr>
        <w:pStyle w:val="Corpodeltesto"/>
        <w:spacing w:lineRule="atLeast" w:line="340"/>
        <w:jc w:val="both"/>
        <w:rPr>
          <w:rStyle w:val="Carpredefinitoparagrafo"/>
          <w:rFonts w:eastAsia="Times New Roman" w:cs="Times New Roman"/>
          <w:b w:val="false"/>
          <w:bCs w:val="false"/>
          <w:color w:val="00000A"/>
          <w:sz w:val="23"/>
          <w:szCs w:val="23"/>
          <w:u w:val="none"/>
          <w:lang w:val="it-IT" w:eastAsia="zh-CN" w:bidi="hi-IN"/>
        </w:rPr>
      </w:pPr>
      <w:r>
        <w:rPr>
          <w:rStyle w:val="Carpredefinitoparagrafo"/>
          <w:rFonts w:eastAsia="Times New Roman" w:cs="Times New Roman"/>
          <w:b/>
          <w:bCs/>
          <w:color w:val="00000A"/>
          <w:sz w:val="23"/>
          <w:szCs w:val="23"/>
          <w:u w:val="none"/>
          <w:lang w:val="it-IT" w:eastAsia="zh-CN" w:bidi="hi-IN"/>
        </w:rPr>
        <w:t xml:space="preserve">OGGETTO: </w:t>
      </w:r>
      <w:r>
        <w:rPr>
          <w:rStyle w:val="Carpredefinitoparagrafo"/>
          <w:rFonts w:eastAsia="Times New Roman" w:cs="Times New Roman"/>
          <w:b w:val="false"/>
          <w:bCs w:val="false"/>
          <w:color w:val="00000A"/>
          <w:sz w:val="23"/>
          <w:szCs w:val="23"/>
          <w:u w:val="none"/>
          <w:lang w:val="it-IT" w:eastAsia="zh-CN" w:bidi="hi-IN"/>
        </w:rPr>
        <w:t>GARA EUROPEA A PROCEDURA APERTA PER L’AFFIDAMENTO IN APPALTO SUDDIVISO IN 3 LOTTI DELLA GESTIONE DEI SERVIZI EDUCATIVI AGGIUNTIVI PER NIDI E SCUOLE DELL’INFANZIA NEL COMUNE DI CASALGRANDE, NEL COMUNE  DI CASTELLARANO E NEL COMUNE DI SCANDIANO PER GLI ANNI SCOLASTICI 2019/2020 – 2020/2021 – 2021/2022 CON EVENTUALE RIPETIZIONE PER GLI ANNI SCOLASTICI 2022/2023 E 2023/2024</w:t>
      </w:r>
    </w:p>
    <w:p>
      <w:pPr>
        <w:pStyle w:val="Normal"/>
        <w:spacing w:lineRule="atLeast" w:line="340"/>
        <w:jc w:val="both"/>
        <w:rPr>
          <w:rStyle w:val="Carpredefinitoparagrafo"/>
          <w:rFonts w:eastAsia="SimSun" w:cs="Mangal"/>
          <w:b/>
          <w:bCs/>
          <w:caps/>
          <w:color w:val="00000A"/>
          <w:sz w:val="23"/>
          <w:szCs w:val="23"/>
          <w:u w:val="none"/>
          <w:lang w:val="it-IT" w:eastAsia="zh-CN" w:bidi="hi-IN"/>
        </w:rPr>
      </w:pPr>
      <w:r>
        <w:rPr>
          <w:rStyle w:val="Carpredefinitoparagrafo"/>
          <w:rFonts w:eastAsia="SimSun" w:cs="Mangal"/>
          <w:b/>
          <w:bCs/>
          <w:caps/>
          <w:color w:val="00000A"/>
          <w:sz w:val="23"/>
          <w:szCs w:val="23"/>
          <w:u w:val="none"/>
          <w:lang w:val="it-IT" w:eastAsia="zh-CN" w:bidi="hi-IN"/>
        </w:rPr>
        <w:t>CPV 80410000-1 SERVIZI SCOLASTICI VARI</w:t>
      </w:r>
    </w:p>
    <w:p>
      <w:pPr>
        <w:pStyle w:val="Normal"/>
        <w:rPr>
          <w:rFonts w:eastAsia="Arial Unicode MS" w:cs="Tahoma"/>
          <w:sz w:val="23"/>
          <w:szCs w:val="23"/>
        </w:rPr>
      </w:pPr>
      <w:r>
        <w:rPr>
          <w:rFonts w:eastAsia="Arial Unicode MS" w:cs="Tahoma"/>
          <w:sz w:val="23"/>
          <w:szCs w:val="23"/>
        </w:rPr>
      </w:r>
    </w:p>
    <w:p>
      <w:pPr>
        <w:pStyle w:val="Normal"/>
        <w:widowControl/>
        <w:suppressAutoHyphens w:val="true"/>
        <w:bidi w:val="0"/>
        <w:spacing w:lineRule="auto" w:line="276"/>
        <w:ind w:left="0" w:right="0" w:hanging="0"/>
        <w:jc w:val="both"/>
        <w:rPr>
          <w:rFonts w:cs="Tahoma"/>
          <w:sz w:val="23"/>
          <w:szCs w:val="23"/>
        </w:rPr>
      </w:pPr>
      <w:r>
        <w:rPr>
          <w:rFonts w:cs="Tahoma"/>
          <w:sz w:val="23"/>
          <w:szCs w:val="23"/>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ind w:left="360" w:right="0" w:hanging="0"/>
        <w:jc w:val="both"/>
        <w:rPr>
          <w:rFonts w:cs="Tahoma"/>
          <w:sz w:val="23"/>
          <w:szCs w:val="23"/>
        </w:rPr>
      </w:pPr>
      <w:r>
        <w:rPr>
          <w:rFonts w:cs="Tahoma"/>
          <w:sz w:val="23"/>
          <w:szCs w:val="23"/>
        </w:rPr>
      </w:r>
    </w:p>
    <w:p>
      <w:pPr>
        <w:pStyle w:val="Normal"/>
        <w:widowControl/>
        <w:spacing w:lineRule="auto" w:line="360"/>
        <w:jc w:val="both"/>
        <w:rPr>
          <w:rFonts w:cs="Tahoma"/>
          <w:sz w:val="23"/>
          <w:szCs w:val="23"/>
        </w:rPr>
      </w:pPr>
      <w:r>
        <w:rPr>
          <w:rFonts w:cs="Tahoma"/>
          <w:sz w:val="23"/>
          <w:szCs w:val="23"/>
        </w:rPr>
      </w:r>
    </w:p>
    <w:p>
      <w:pPr>
        <w:pStyle w:val="Normal"/>
        <w:widowControl/>
        <w:spacing w:lineRule="auto" w:line="360"/>
        <w:jc w:val="left"/>
        <w:rPr>
          <w:rFonts w:cs="Tahoma"/>
          <w:sz w:val="23"/>
          <w:szCs w:val="23"/>
          <w:lang w:eastAsia="it-IT"/>
        </w:rPr>
      </w:pPr>
      <w:r>
        <w:rPr>
          <w:rFonts w:cs="Tahoma"/>
          <w:sz w:val="23"/>
          <w:szCs w:val="23"/>
          <w:lang w:eastAsia="it-IT"/>
        </w:rPr>
        <w:t xml:space="preserve">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w:t>
      </w:r>
      <w:r>
        <w:rPr>
          <w:rFonts w:cs="Tahoma"/>
          <w:b w:val="false"/>
          <w:bCs w:val="false"/>
          <w:i/>
          <w:iCs/>
          <w:sz w:val="23"/>
          <w:szCs w:val="23"/>
          <w:lang w:eastAsia="it-IT"/>
        </w:rPr>
        <w:t>(denominazione, ragione sociale, sede legale, forma giuridica, P. IVA e C.F.)</w:t>
      </w:r>
      <w:r>
        <w:rPr>
          <w:rFonts w:cs="Tahoma"/>
          <w:sz w:val="23"/>
          <w:szCs w:val="23"/>
          <w:lang w:eastAsia="it-IT"/>
        </w:rPr>
        <w:t xml:space="preserve"> __________________________________________________________________________________________________________________________________________________________________________ Tel___________/________________ E-mail________________________ PEC____________________________</w:t>
      </w:r>
    </w:p>
    <w:p>
      <w:pPr>
        <w:pStyle w:val="Sche3"/>
        <w:widowControl/>
        <w:spacing w:lineRule="auto" w:line="276"/>
        <w:jc w:val="center"/>
        <w:rPr>
          <w:rFonts w:cs="Tahoma"/>
          <w:sz w:val="23"/>
          <w:szCs w:val="23"/>
          <w:lang w:val="it-IT"/>
        </w:rPr>
      </w:pPr>
      <w:bookmarkStart w:id="3" w:name="OLE_LINK2611"/>
      <w:bookmarkStart w:id="4" w:name="OLE_LINK2611"/>
      <w:bookmarkEnd w:id="4"/>
      <w:r>
        <w:rPr>
          <w:rFonts w:cs="Tahoma"/>
          <w:sz w:val="23"/>
          <w:szCs w:val="23"/>
          <w:lang w:val="it-IT"/>
        </w:rPr>
      </w:r>
    </w:p>
    <w:p>
      <w:pPr>
        <w:pStyle w:val="Sche3"/>
        <w:widowControl/>
        <w:spacing w:lineRule="auto" w:line="276"/>
        <w:jc w:val="center"/>
        <w:rPr>
          <w:rFonts w:cs="Tahoma"/>
          <w:sz w:val="23"/>
          <w:szCs w:val="23"/>
          <w:lang w:val="it-IT"/>
        </w:rPr>
      </w:pPr>
      <w:r>
        <w:rPr>
          <w:rFonts w:cs="Tahoma"/>
          <w:sz w:val="23"/>
          <w:szCs w:val="23"/>
          <w:lang w:val="it-IT"/>
        </w:rPr>
        <w:t>IN QUALITA’ DI</w:t>
      </w:r>
    </w:p>
    <w:p>
      <w:pPr>
        <w:pStyle w:val="Sche3"/>
        <w:widowControl/>
        <w:spacing w:lineRule="auto" w:line="276"/>
        <w:jc w:val="center"/>
        <w:rPr>
          <w:rFonts w:cs="Tahoma"/>
          <w:sz w:val="23"/>
          <w:szCs w:val="23"/>
          <w:lang w:val="it-IT"/>
        </w:rPr>
      </w:pPr>
      <w:r>
        <w:rPr>
          <w:rFonts w:cs="Tahoma"/>
          <w:sz w:val="23"/>
          <w:szCs w:val="23"/>
          <w:lang w:val="it-IT"/>
        </w:rPr>
      </w:r>
    </w:p>
    <w:p>
      <w:pPr>
        <w:pStyle w:val="Sche3"/>
        <w:widowControl/>
        <w:spacing w:lineRule="auto" w:line="276"/>
        <w:jc w:val="center"/>
        <w:rPr>
          <w:rFonts w:cs="Tahoma"/>
          <w:sz w:val="23"/>
          <w:szCs w:val="23"/>
          <w:lang w:val="it-IT"/>
        </w:rPr>
      </w:pPr>
      <w:r>
        <w:rPr>
          <w:rFonts w:cs="Tahoma"/>
          <w:sz w:val="23"/>
          <w:szCs w:val="23"/>
          <w:lang w:val="it-IT"/>
        </w:rPr>
        <w:t>AUSILIARIA del concorrente________________________________</w:t>
      </w:r>
    </w:p>
    <w:p>
      <w:pPr>
        <w:pStyle w:val="Sche3"/>
        <w:widowControl/>
        <w:jc w:val="center"/>
        <w:rPr>
          <w:rFonts w:cs="Tahoma"/>
          <w:sz w:val="23"/>
          <w:szCs w:val="23"/>
          <w:u w:val="single"/>
          <w:lang w:val="it-IT"/>
        </w:rPr>
      </w:pPr>
      <w:r>
        <w:rPr>
          <w:rFonts w:cs="Tahoma"/>
          <w:sz w:val="23"/>
          <w:szCs w:val="23"/>
          <w:u w:val="single"/>
          <w:lang w:val="it-IT"/>
        </w:rPr>
      </w:r>
    </w:p>
    <w:p>
      <w:pPr>
        <w:pStyle w:val="Sche3"/>
        <w:widowControl/>
        <w:jc w:val="center"/>
        <w:rPr>
          <w:rFonts w:cs="Tahoma"/>
          <w:sz w:val="23"/>
          <w:szCs w:val="23"/>
          <w:lang w:val="it-IT"/>
        </w:rPr>
      </w:pPr>
      <w:r>
        <w:rPr>
          <w:rFonts w:cs="Tahoma"/>
          <w:sz w:val="23"/>
          <w:szCs w:val="23"/>
          <w:lang w:val="it-IT"/>
        </w:rPr>
        <w:t xml:space="preserve">DICHIARA </w:t>
      </w:r>
    </w:p>
    <w:p>
      <w:pPr>
        <w:pStyle w:val="Sche3"/>
        <w:widowControl/>
        <w:jc w:val="center"/>
        <w:rPr>
          <w:rFonts w:cs="Tahoma"/>
          <w:sz w:val="23"/>
          <w:szCs w:val="23"/>
          <w:u w:val="single"/>
          <w:lang w:val="it-IT"/>
        </w:rPr>
      </w:pPr>
      <w:r>
        <w:rPr>
          <w:rFonts w:cs="Tahoma"/>
          <w:sz w:val="23"/>
          <w:szCs w:val="23"/>
          <w:u w:val="single"/>
          <w:lang w:val="it-IT"/>
        </w:rPr>
      </w:r>
    </w:p>
    <w:p>
      <w:pPr>
        <w:pStyle w:val="Sche3"/>
        <w:jc w:val="center"/>
        <w:rPr>
          <w:rFonts w:cs="Tahoma"/>
          <w:sz w:val="23"/>
          <w:szCs w:val="23"/>
          <w:u w:val="single"/>
          <w:lang w:val="it-IT"/>
        </w:rPr>
      </w:pPr>
      <w:r>
        <w:rPr>
          <w:rFonts w:cs="Tahoma"/>
          <w:sz w:val="23"/>
          <w:szCs w:val="23"/>
          <w:u w:val="single"/>
          <w:lang w:val="it-IT"/>
        </w:rPr>
        <w:t>(barrare le caselle che corrispondono al vero e completare)</w:t>
      </w:r>
    </w:p>
    <w:p>
      <w:pPr>
        <w:pStyle w:val="Sche3"/>
        <w:jc w:val="center"/>
        <w:rPr>
          <w:rFonts w:cs="Tahoma"/>
          <w:i/>
          <w:sz w:val="23"/>
          <w:szCs w:val="23"/>
          <w:lang w:val="it-IT"/>
        </w:rPr>
      </w:pPr>
      <w:r>
        <w:rPr>
          <w:rFonts w:cs="Tahoma"/>
          <w:i/>
          <w:sz w:val="23"/>
          <w:szCs w:val="23"/>
          <w:lang w:val="it-IT"/>
        </w:rPr>
      </w:r>
    </w:p>
    <w:p>
      <w:pPr>
        <w:pStyle w:val="Sche3"/>
        <w:jc w:val="center"/>
        <w:rPr>
          <w:rFonts w:cs="Tahoma"/>
          <w:i/>
          <w:sz w:val="23"/>
          <w:szCs w:val="23"/>
          <w:lang w:val="it-IT"/>
        </w:rPr>
      </w:pPr>
      <w:r>
        <w:rPr>
          <w:rFonts w:cs="Tahoma"/>
          <w:i/>
          <w:sz w:val="23"/>
          <w:szCs w:val="23"/>
          <w:lang w:val="it-IT"/>
        </w:rPr>
      </w:r>
    </w:p>
    <w:p>
      <w:pPr>
        <w:pStyle w:val="Normal"/>
        <w:widowControl w:val="false"/>
        <w:tabs>
          <w:tab w:val="left" w:pos="-31226" w:leader="none"/>
        </w:tabs>
        <w:ind w:left="454" w:right="0" w:hanging="0"/>
        <w:jc w:val="both"/>
        <w:rPr>
          <w:rFonts w:eastAsia="Tahoma" w:cs="Tahoma"/>
          <w:b/>
          <w:sz w:val="23"/>
          <w:szCs w:val="23"/>
        </w:rPr>
      </w:pPr>
      <w:r>
        <w:rPr>
          <w:rFonts w:eastAsia="Tahoma" w:cs="Tahoma"/>
          <w:b/>
          <w:sz w:val="23"/>
          <w:szCs w:val="23"/>
        </w:rPr>
        <w:t xml:space="preserve">PARTE III DEL DGUE – Motivi di esclusione (Art. 80 del D. Lgs. 50/2016 </w:t>
      </w:r>
      <w:r>
        <w:rPr>
          <w:rFonts w:eastAsia="Tahoma" w:cs="Tahoma"/>
          <w:b/>
          <w:sz w:val="23"/>
          <w:szCs w:val="23"/>
          <w:u w:val="single"/>
        </w:rPr>
        <w:t>come aggiornato dal D.L. 18/04/2019 n. 32 nel testo riportato in calce al presente Modulo</w:t>
      </w:r>
      <w:r>
        <w:rPr>
          <w:rFonts w:eastAsia="Tahoma" w:cs="Tahoma"/>
          <w:b/>
          <w:sz w:val="23"/>
          <w:szCs w:val="23"/>
        </w:rPr>
        <w:t>)</w:t>
      </w:r>
    </w:p>
    <w:p>
      <w:pPr>
        <w:pStyle w:val="Normal"/>
        <w:widowControl w:val="false"/>
        <w:tabs>
          <w:tab w:val="left" w:pos="-31226" w:leader="none"/>
        </w:tabs>
        <w:ind w:left="454" w:right="0" w:hanging="0"/>
        <w:jc w:val="both"/>
        <w:rPr>
          <w:sz w:val="23"/>
          <w:szCs w:val="23"/>
        </w:rPr>
      </w:pPr>
      <w:r>
        <w:rPr>
          <w:sz w:val="23"/>
          <w:szCs w:val="23"/>
        </w:rPr>
      </w:r>
    </w:p>
    <w:p>
      <w:pPr>
        <w:pStyle w:val="Normal"/>
        <w:widowControl w:val="false"/>
        <w:tabs>
          <w:tab w:val="left" w:pos="-31226" w:leader="none"/>
        </w:tabs>
        <w:ind w:left="454" w:right="0" w:hanging="0"/>
        <w:jc w:val="both"/>
        <w:rPr>
          <w:rFonts w:eastAsia="Tahoma" w:cs="Tahoma"/>
          <w:b/>
          <w:sz w:val="23"/>
          <w:szCs w:val="23"/>
        </w:rPr>
      </w:pPr>
      <w:r>
        <w:rPr>
          <w:rFonts w:eastAsia="Tahoma" w:cs="Tahoma"/>
          <w:b/>
          <w:sz w:val="23"/>
          <w:szCs w:val="23"/>
        </w:rPr>
        <w:t xml:space="preserve">- </w:t>
        <w:tab/>
        <w:t>Motivi legati a condanne penali:</w:t>
      </w:r>
    </w:p>
    <w:p>
      <w:pPr>
        <w:pStyle w:val="Normal"/>
        <w:widowControl w:val="false"/>
        <w:tabs>
          <w:tab w:val="left" w:pos="-31680" w:leader="none"/>
        </w:tabs>
        <w:jc w:val="both"/>
        <w:rPr>
          <w:sz w:val="23"/>
          <w:szCs w:val="23"/>
        </w:rPr>
      </w:pPr>
      <w:r>
        <w:rPr>
          <w:sz w:val="23"/>
          <w:szCs w:val="23"/>
        </w:rPr>
      </w:r>
    </w:p>
    <w:p>
      <w:pPr>
        <w:pStyle w:val="Normal"/>
        <w:widowControl w:val="false"/>
        <w:tabs>
          <w:tab w:val="left" w:pos="1132" w:leader="none"/>
          <w:tab w:val="left" w:pos="1645" w:leader="none"/>
          <w:tab w:val="left" w:pos="2637" w:leader="none"/>
        </w:tabs>
        <w:suppressAutoHyphens w:val="true"/>
        <w:bidi w:val="0"/>
        <w:spacing w:lineRule="auto" w:line="360"/>
        <w:ind w:left="794" w:right="0" w:hanging="227"/>
        <w:jc w:val="both"/>
        <w:textAlignment w:val="baseline"/>
        <w:rPr>
          <w:rFonts w:eastAsia="Tahoma" w:cs="Tahoma"/>
          <w:sz w:val="23"/>
          <w:szCs w:val="23"/>
        </w:rPr>
      </w:pPr>
      <w:r>
        <w:rPr>
          <w:rFonts w:eastAsia="Tahoma" w:cs="Tahoma"/>
          <w:sz w:val="23"/>
          <w:szCs w:val="23"/>
        </w:rPr>
        <w:t>1) I soggetti di cui all’art. 80, comma 3, del Codice</w:t>
      </w:r>
      <w:r>
        <w:rPr>
          <w:rStyle w:val="Richiamoallanotaapidipagina"/>
          <w:rFonts w:eastAsia="Tahoma" w:cs="Tahoma"/>
          <w:sz w:val="23"/>
          <w:szCs w:val="23"/>
        </w:rPr>
        <w:footnoteReference w:id="2"/>
      </w:r>
      <w:r>
        <w:rPr>
          <w:rFonts w:eastAsia="Tahoma" w:cs="Tahoma"/>
          <w:sz w:val="23"/>
          <w:szCs w:val="23"/>
        </w:rPr>
        <w:t>,</w:t>
      </w:r>
      <w:r>
        <w:rPr>
          <w:sz w:val="23"/>
          <w:szCs w:val="23"/>
          <w:vertAlign w:val="superscript"/>
        </w:rPr>
        <w:t xml:space="preserve">   </w:t>
      </w:r>
      <w:r>
        <w:rPr>
          <w:rFonts w:eastAsia="Tahoma" w:cs="Tahoma"/>
          <w:sz w:val="23"/>
          <w:szCs w:val="23"/>
        </w:rPr>
        <w:t>sono i seguenti (</w:t>
      </w:r>
      <w:r>
        <w:rPr>
          <w:rFonts w:eastAsia="Tahoma" w:cs="Tahoma"/>
          <w:i/>
          <w:sz w:val="23"/>
          <w:szCs w:val="23"/>
        </w:rPr>
        <w:t>indicare anche i soggetti cessati dalla carica nell’anno antecedente la data di pubblicazione del bando di gara specificando la data cessazione e carica ricoperta fino alla cessazione</w:t>
      </w:r>
      <w:r>
        <w:rPr>
          <w:rFonts w:eastAsia="Tahoma" w:cs="Tahoma"/>
          <w:sz w:val="23"/>
          <w:szCs w:val="23"/>
        </w:rPr>
        <w:t>):</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3"/>
          <w:szCs w:val="23"/>
          <w:lang w:eastAsia="it-IT"/>
        </w:rPr>
      </w:pPr>
      <w:r>
        <w:rPr>
          <w:rFonts w:cs="Tahoma"/>
          <w:sz w:val="23"/>
          <w:szCs w:val="23"/>
          <w:lang w:eastAsia="it-IT"/>
        </w:rPr>
      </w:r>
    </w:p>
    <w:p>
      <w:pPr>
        <w:pStyle w:val="Normal"/>
        <w:widowControl w:val="false"/>
        <w:tabs>
          <w:tab w:val="left" w:pos="1384" w:leader="none"/>
          <w:tab w:val="left" w:pos="1645" w:leader="none"/>
          <w:tab w:val="left" w:pos="2637" w:leader="none"/>
        </w:tabs>
        <w:suppressAutoHyphens w:val="true"/>
        <w:bidi w:val="0"/>
        <w:spacing w:lineRule="auto" w:line="360"/>
        <w:ind w:left="567" w:right="0" w:hanging="0"/>
        <w:jc w:val="both"/>
        <w:textAlignment w:val="baseline"/>
        <w:rPr>
          <w:rFonts w:cs="Tahoma"/>
          <w:sz w:val="23"/>
          <w:szCs w:val="23"/>
          <w:lang w:eastAsia="it-IT"/>
        </w:rPr>
      </w:pPr>
      <w:r>
        <w:rPr>
          <w:rFonts w:cs="Tahoma"/>
          <w:sz w:val="23"/>
          <w:szCs w:val="23"/>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3"/>
          <w:szCs w:val="23"/>
          <w:lang w:eastAsia="it-IT"/>
        </w:rPr>
      </w:pPr>
      <w:r>
        <w:rPr>
          <w:rFonts w:cs="Tahoma"/>
          <w:sz w:val="23"/>
          <w:szCs w:val="23"/>
          <w:lang w:eastAsia="it-IT"/>
        </w:rPr>
      </w:r>
    </w:p>
    <w:p>
      <w:pPr>
        <w:pStyle w:val="Normal"/>
        <w:widowControl w:val="false"/>
        <w:tabs>
          <w:tab w:val="left" w:pos="1384" w:leader="none"/>
          <w:tab w:val="left" w:pos="1645" w:leader="none"/>
          <w:tab w:val="left" w:pos="2637" w:leader="none"/>
        </w:tabs>
        <w:suppressAutoHyphens w:val="true"/>
        <w:bidi w:val="0"/>
        <w:spacing w:lineRule="auto" w:line="360"/>
        <w:ind w:left="567" w:right="0" w:hanging="0"/>
        <w:jc w:val="both"/>
        <w:textAlignment w:val="baseline"/>
        <w:rPr>
          <w:rFonts w:cs="Tahoma"/>
          <w:sz w:val="23"/>
          <w:szCs w:val="23"/>
          <w:lang w:eastAsia="it-IT"/>
        </w:rPr>
      </w:pPr>
      <w:r>
        <w:rPr>
          <w:rFonts w:cs="Tahoma"/>
          <w:sz w:val="23"/>
          <w:szCs w:val="23"/>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3"/>
          <w:szCs w:val="23"/>
          <w:lang w:eastAsia="it-IT"/>
        </w:rPr>
      </w:pPr>
      <w:r>
        <w:rPr>
          <w:rFonts w:cs="Tahoma"/>
          <w:sz w:val="23"/>
          <w:szCs w:val="23"/>
          <w:lang w:eastAsia="it-IT"/>
        </w:rPr>
      </w:r>
    </w:p>
    <w:p>
      <w:pPr>
        <w:pStyle w:val="Normal"/>
        <w:widowControl w:val="false"/>
        <w:tabs>
          <w:tab w:val="left" w:pos="1384" w:leader="none"/>
          <w:tab w:val="left" w:pos="1645" w:leader="none"/>
          <w:tab w:val="left" w:pos="2637" w:leader="none"/>
        </w:tabs>
        <w:suppressAutoHyphens w:val="true"/>
        <w:bidi w:val="0"/>
        <w:spacing w:lineRule="auto" w:line="360"/>
        <w:ind w:left="567" w:right="0" w:hanging="0"/>
        <w:jc w:val="both"/>
        <w:textAlignment w:val="baseline"/>
        <w:rPr>
          <w:rFonts w:cs="Tahoma"/>
          <w:sz w:val="23"/>
          <w:szCs w:val="23"/>
          <w:lang w:eastAsia="it-IT"/>
        </w:rPr>
      </w:pPr>
      <w:r>
        <w:rPr>
          <w:rFonts w:cs="Tahoma"/>
          <w:sz w:val="23"/>
          <w:szCs w:val="23"/>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3"/>
          <w:szCs w:val="23"/>
          <w:lang w:eastAsia="it-IT"/>
        </w:rPr>
      </w:pPr>
      <w:r>
        <w:rPr>
          <w:rFonts w:cs="Tahoma"/>
          <w:sz w:val="23"/>
          <w:szCs w:val="23"/>
          <w:lang w:eastAsia="it-IT"/>
        </w:rPr>
      </w:r>
    </w:p>
    <w:p>
      <w:pPr>
        <w:pStyle w:val="Normal"/>
        <w:widowControl w:val="false"/>
        <w:tabs>
          <w:tab w:val="left" w:pos="1418" w:leader="none"/>
          <w:tab w:val="left" w:pos="1645" w:leader="none"/>
          <w:tab w:val="left" w:pos="2637" w:leader="none"/>
        </w:tabs>
        <w:suppressAutoHyphens w:val="true"/>
        <w:bidi w:val="0"/>
        <w:spacing w:lineRule="auto" w:line="360"/>
        <w:ind w:left="567" w:right="0" w:hanging="0"/>
        <w:jc w:val="both"/>
        <w:textAlignment w:val="baseline"/>
        <w:rPr>
          <w:rFonts w:cs="Tahoma"/>
          <w:sz w:val="23"/>
          <w:szCs w:val="23"/>
          <w:lang w:eastAsia="it-IT"/>
        </w:rPr>
      </w:pPr>
      <w:r>
        <w:rPr>
          <w:rFonts w:cs="Tahoma"/>
          <w:sz w:val="23"/>
          <w:szCs w:val="23"/>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31680" w:leader="none"/>
        </w:tabs>
        <w:jc w:val="left"/>
        <w:rPr>
          <w:sz w:val="23"/>
          <w:szCs w:val="23"/>
        </w:rPr>
      </w:pPr>
      <w:r>
        <w:rPr>
          <w:sz w:val="23"/>
          <w:szCs w:val="23"/>
        </w:rPr>
      </w:r>
    </w:p>
    <w:p>
      <w:pPr>
        <w:pStyle w:val="Normal"/>
        <w:widowControl w:val="false"/>
        <w:tabs>
          <w:tab w:val="left" w:pos="-31680" w:leader="none"/>
        </w:tabs>
        <w:suppressAutoHyphens w:val="true"/>
        <w:bidi w:val="0"/>
        <w:ind w:left="567" w:right="0" w:hanging="0"/>
        <w:jc w:val="both"/>
        <w:textAlignment w:val="baseline"/>
        <w:rPr>
          <w:i/>
          <w:iCs/>
          <w:sz w:val="23"/>
          <w:szCs w:val="23"/>
        </w:rPr>
      </w:pPr>
      <w:r>
        <w:rPr>
          <w:i/>
          <w:iCs/>
          <w:sz w:val="23"/>
          <w:szCs w:val="23"/>
        </w:rPr>
        <w:t>(Il concorrente può fornire i dati richiesti anche presentando un allegato a parte)</w:t>
      </w:r>
    </w:p>
    <w:p>
      <w:pPr>
        <w:pStyle w:val="Normal"/>
        <w:widowControl w:val="false"/>
        <w:tabs>
          <w:tab w:val="left" w:pos="-31680" w:leader="none"/>
        </w:tabs>
        <w:jc w:val="left"/>
        <w:rPr>
          <w:sz w:val="23"/>
          <w:szCs w:val="23"/>
        </w:rPr>
      </w:pPr>
      <w:r>
        <w:rPr>
          <w:sz w:val="23"/>
          <w:szCs w:val="23"/>
        </w:rPr>
      </w:r>
    </w:p>
    <w:p>
      <w:pPr>
        <w:pStyle w:val="Normal"/>
        <w:widowControl/>
        <w:tabs>
          <w:tab w:val="left" w:pos="1645" w:leader="none"/>
          <w:tab w:val="left" w:pos="2637" w:leader="none"/>
        </w:tabs>
        <w:suppressAutoHyphens w:val="true"/>
        <w:bidi w:val="0"/>
        <w:spacing w:lineRule="auto" w:line="360"/>
        <w:ind w:left="794" w:right="0" w:hanging="227"/>
        <w:jc w:val="both"/>
        <w:textAlignment w:val="baseline"/>
        <w:rPr>
          <w:rFonts w:eastAsia="Tahoma" w:cs="Tahoma"/>
          <w:sz w:val="23"/>
          <w:szCs w:val="23"/>
        </w:rPr>
      </w:pPr>
      <w:r>
        <w:rPr>
          <w:rFonts w:eastAsia="Tahoma" w:cs="Tahoma"/>
          <w:sz w:val="23"/>
          <w:szCs w:val="23"/>
        </w:rPr>
        <w:t>2) I soggetti di cui all’art. 80, comma 3,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Tahoma"/>
          <w:sz w:val="23"/>
          <w:szCs w:val="23"/>
        </w:rPr>
      </w:pPr>
      <w:r>
        <w:rPr>
          <w:rFonts w:eastAsia="Tahoma" w:cs="Tahoma"/>
          <w:sz w:val="23"/>
          <w:szCs w:val="23"/>
        </w:rPr>
      </w:r>
    </w:p>
    <w:p>
      <w:pPr>
        <w:pStyle w:val="Normal"/>
        <w:widowControl/>
        <w:tabs>
          <w:tab w:val="left" w:pos="1588" w:leader="none"/>
          <w:tab w:val="left" w:pos="2580" w:leader="none"/>
        </w:tabs>
        <w:suppressAutoHyphens w:val="true"/>
        <w:bidi w:val="0"/>
        <w:ind w:left="567" w:right="0" w:hanging="0"/>
        <w:jc w:val="both"/>
        <w:textAlignment w:val="baseline"/>
        <w:rPr>
          <w:rFonts w:eastAsia="Tahoma" w:cs="Tahoma"/>
          <w:color w:val="000000"/>
          <w:sz w:val="23"/>
          <w:szCs w:val="23"/>
        </w:rPr>
      </w:pPr>
      <w:r>
        <w:rPr>
          <w:rFonts w:eastAsia="Tahoma" w:cs="Tahoma"/>
          <w:sz w:val="23"/>
          <w:szCs w:val="23"/>
        </w:rPr>
        <w:t>- False comunicazioni sociali di cui agli articoli 2621 e 2622 del codice civile (Art. 80, comma 1, let. b-bis) del Codice:</w:t>
      </w:r>
      <w:bookmarkStart w:id="5" w:name="__DdeLink__43111_91320773"/>
      <w:r>
        <w:rPr>
          <w:rFonts w:eastAsia="Tahoma" w:cs="Tahoma"/>
          <w:sz w:val="23"/>
          <w:szCs w:val="23"/>
        </w:rPr>
        <w:t xml:space="preserve">     </w:t>
      </w:r>
      <w:bookmarkEnd w:id="5"/>
      <w:r>
        <w:rPr>
          <w:rFonts w:eastAsia="Tahoma" w:cs="Tahoma"/>
          <w:color w:val="000000"/>
          <w:sz w:val="23"/>
          <w:szCs w:val="23"/>
        </w:rPr>
        <w:t>[   ]Sì     [   ]No</w:t>
      </w:r>
    </w:p>
    <w:p>
      <w:pPr>
        <w:pStyle w:val="Normal"/>
        <w:tabs>
          <w:tab w:val="left" w:pos="1588" w:leader="none"/>
          <w:tab w:val="left" w:pos="2580" w:leader="none"/>
        </w:tabs>
        <w:ind w:left="1304" w:right="0" w:hanging="0"/>
        <w:jc w:val="both"/>
        <w:rPr>
          <w:sz w:val="23"/>
          <w:szCs w:val="23"/>
        </w:rPr>
      </w:pPr>
      <w:r>
        <w:rPr>
          <w:sz w:val="23"/>
          <w:szCs w:val="23"/>
        </w:rPr>
      </w:r>
    </w:p>
    <w:p>
      <w:pPr>
        <w:pStyle w:val="Normal"/>
        <w:widowControl w:val="false"/>
        <w:tabs>
          <w:tab w:val="left" w:pos="-14476" w:leader="none"/>
          <w:tab w:val="left" w:pos="-13484" w:leader="none"/>
        </w:tabs>
        <w:suppressAutoHyphens w:val="true"/>
        <w:bidi w:val="0"/>
        <w:spacing w:lineRule="auto" w:line="360"/>
        <w:ind w:left="624" w:right="0" w:hanging="0"/>
        <w:jc w:val="both"/>
        <w:textAlignment w:val="baseline"/>
        <w:rPr>
          <w:rFonts w:eastAsia="Tahoma" w:cs="Tahoma"/>
          <w:sz w:val="23"/>
          <w:szCs w:val="23"/>
        </w:rPr>
      </w:pPr>
      <w:r>
        <w:rPr>
          <w:rFonts w:eastAsia="Tahoma" w:cs="Tahoma"/>
          <w:sz w:val="23"/>
          <w:szCs w:val="23"/>
        </w:rPr>
        <w:t>In caso di risposta affermativa, indicare:</w:t>
      </w:r>
    </w:p>
    <w:p>
      <w:pPr>
        <w:pStyle w:val="Normal"/>
        <w:widowControl w:val="false"/>
        <w:numPr>
          <w:ilvl w:val="0"/>
          <w:numId w:val="2"/>
        </w:numPr>
        <w:tabs>
          <w:tab w:val="left" w:pos="-14476" w:leader="none"/>
          <w:tab w:val="left" w:pos="-13484" w:leader="none"/>
        </w:tabs>
        <w:suppressAutoHyphens w:val="true"/>
        <w:bidi w:val="0"/>
        <w:spacing w:lineRule="auto" w:line="360"/>
        <w:ind w:left="964" w:right="0" w:hanging="360"/>
        <w:jc w:val="both"/>
        <w:textAlignment w:val="baseline"/>
        <w:rPr>
          <w:rFonts w:eastAsia="Tahoma" w:cs="Tahoma"/>
          <w:sz w:val="23"/>
          <w:szCs w:val="23"/>
        </w:rPr>
      </w:pPr>
      <w:r>
        <w:rPr>
          <w:rFonts w:eastAsia="Tahoma" w:cs="Tahoma"/>
          <w:sz w:val="23"/>
          <w:szCs w:val="23"/>
        </w:rPr>
        <w:t xml:space="preserve"> </w:t>
      </w:r>
      <w:r>
        <w:rPr>
          <w:rFonts w:eastAsia="Tahoma" w:cs="Tahoma"/>
          <w:sz w:val="23"/>
          <w:szCs w:val="23"/>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numPr>
          <w:ilvl w:val="0"/>
          <w:numId w:val="2"/>
        </w:numPr>
        <w:tabs>
          <w:tab w:val="left" w:pos="-14476" w:leader="none"/>
          <w:tab w:val="left" w:pos="-13484" w:leader="none"/>
        </w:tabs>
        <w:suppressAutoHyphens w:val="true"/>
        <w:bidi w:val="0"/>
        <w:spacing w:lineRule="auto" w:line="360"/>
        <w:ind w:left="964" w:right="0" w:hanging="360"/>
        <w:jc w:val="both"/>
        <w:textAlignment w:val="baseline"/>
        <w:rPr>
          <w:rFonts w:eastAsia="Tahoma" w:cs="Tahoma"/>
          <w:sz w:val="23"/>
          <w:szCs w:val="23"/>
        </w:rPr>
      </w:pPr>
      <w:r>
        <w:rPr>
          <w:rFonts w:eastAsia="Tahoma" w:cs="Tahoma"/>
          <w:sz w:val="23"/>
          <w:szCs w:val="23"/>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2"/>
        </w:numPr>
        <w:tabs>
          <w:tab w:val="left" w:pos="-14476" w:leader="none"/>
          <w:tab w:val="left" w:pos="-13484" w:leader="none"/>
        </w:tabs>
        <w:suppressAutoHyphens w:val="true"/>
        <w:bidi w:val="0"/>
        <w:spacing w:lineRule="auto" w:line="360"/>
        <w:ind w:left="964" w:right="0" w:hanging="360"/>
        <w:jc w:val="both"/>
        <w:textAlignment w:val="baseline"/>
        <w:rPr>
          <w:rFonts w:eastAsia="Tahoma" w:cs="Tahoma"/>
          <w:sz w:val="23"/>
          <w:szCs w:val="23"/>
        </w:rPr>
      </w:pPr>
      <w:r>
        <w:rPr>
          <w:rFonts w:eastAsia="Tahoma" w:cs="Tahoma"/>
          <w:sz w:val="23"/>
          <w:szCs w:val="23"/>
        </w:rPr>
        <w:t>se stabilita direttamente nella sentenza di condanna, la durata della pena accessoria: durata del periodo di esclusione_____________________________________________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3"/>
          <w:szCs w:val="23"/>
        </w:rPr>
      </w:pPr>
      <w:r>
        <w:rPr>
          <w:rFonts w:eastAsia="Tahoma" w:cs="Tahoma"/>
          <w:sz w:val="23"/>
          <w:szCs w:val="23"/>
        </w:rPr>
      </w:r>
    </w:p>
    <w:p>
      <w:pPr>
        <w:pStyle w:val="Normal"/>
        <w:tabs>
          <w:tab w:val="left" w:pos="1645" w:leader="none"/>
          <w:tab w:val="left" w:pos="2637" w:leader="none"/>
        </w:tabs>
        <w:spacing w:lineRule="auto" w:line="360"/>
        <w:ind w:left="1361" w:right="0" w:hanging="227"/>
        <w:jc w:val="left"/>
        <w:rPr>
          <w:rFonts w:eastAsia="Tahoma" w:cs="Tahoma"/>
          <w:sz w:val="23"/>
          <w:szCs w:val="23"/>
        </w:rPr>
      </w:pPr>
      <w:r>
        <w:rPr>
          <w:rFonts w:eastAsia="Tahoma" w:cs="Tahoma"/>
          <w:sz w:val="23"/>
          <w:szCs w:val="23"/>
        </w:rPr>
      </w:r>
    </w:p>
    <w:p>
      <w:pPr>
        <w:pStyle w:val="Normal"/>
        <w:widowControl/>
        <w:tabs>
          <w:tab w:val="left" w:pos="1645" w:leader="none"/>
          <w:tab w:val="left" w:pos="2637" w:leader="none"/>
        </w:tabs>
        <w:suppressAutoHyphens w:val="true"/>
        <w:bidi w:val="0"/>
        <w:spacing w:lineRule="auto" w:line="360"/>
        <w:ind w:left="850" w:right="0" w:hanging="227"/>
        <w:jc w:val="both"/>
        <w:textAlignment w:val="baseline"/>
        <w:rPr>
          <w:rFonts w:eastAsia="Tahoma" w:cs="Calibri Light"/>
          <w:sz w:val="23"/>
          <w:szCs w:val="23"/>
        </w:rPr>
      </w:pPr>
      <w:r>
        <w:rPr>
          <w:rFonts w:eastAsia="Tahoma" w:cs="Calibri Light"/>
          <w:sz w:val="23"/>
          <w:szCs w:val="23"/>
        </w:rPr>
        <w:t>3) I soggetti di cui all’art. 80, comma 3</w:t>
      </w:r>
      <w:r>
        <w:rPr>
          <w:rStyle w:val="Richiamoallanotaapidipagina"/>
          <w:rFonts w:eastAsia="Tahoma" w:cs="Calibri Light"/>
          <w:sz w:val="23"/>
          <w:szCs w:val="23"/>
        </w:rPr>
        <w:footnoteReference w:customMarkFollows="1" w:id="3"/>
        <w:t>1</w:t>
      </w:r>
      <w:r>
        <w:rPr>
          <w:rFonts w:eastAsia="Tahoma" w:cs="Calibri Light"/>
          <w:sz w:val="23"/>
          <w:szCs w:val="23"/>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Calibri Light"/>
          <w:sz w:val="23"/>
          <w:szCs w:val="23"/>
        </w:rPr>
      </w:pPr>
      <w:r>
        <w:rPr>
          <w:rFonts w:eastAsia="Tahoma" w:cs="Calibri Light"/>
          <w:sz w:val="23"/>
          <w:szCs w:val="23"/>
        </w:rPr>
      </w:r>
    </w:p>
    <w:p>
      <w:pPr>
        <w:pStyle w:val="Normal"/>
        <w:widowControl w:val="false"/>
        <w:tabs>
          <w:tab w:val="left" w:pos="1588" w:leader="none"/>
          <w:tab w:val="left" w:pos="2580" w:leader="none"/>
        </w:tabs>
        <w:suppressAutoHyphens w:val="true"/>
        <w:bidi w:val="0"/>
        <w:spacing w:lineRule="auto" w:line="360"/>
        <w:ind w:left="624" w:right="0" w:hanging="0"/>
        <w:jc w:val="both"/>
        <w:textAlignment w:val="baseline"/>
        <w:rPr>
          <w:rFonts w:eastAsia="Tahoma" w:cs="Tahoma"/>
          <w:color w:val="000000"/>
          <w:sz w:val="23"/>
          <w:szCs w:val="23"/>
        </w:rPr>
      </w:pPr>
      <w:r>
        <w:rPr>
          <w:rFonts w:cs="Calibri Light"/>
          <w:sz w:val="23"/>
          <w:szCs w:val="23"/>
        </w:rPr>
        <w:t>- Ogni altro delitto da cui derivi, quale pena accessoria, l’incapacità di contrattare con la pubblica amministrazione (Art. 80, comma 1, lett. g) del Codice:</w:t>
      </w:r>
      <w:bookmarkStart w:id="6" w:name="__DdeLink__43111_913207731"/>
      <w:r>
        <w:rPr>
          <w:rFonts w:eastAsia="Tahoma" w:cs="Tahoma"/>
          <w:sz w:val="23"/>
          <w:szCs w:val="23"/>
        </w:rPr>
        <w:t xml:space="preserve">     </w:t>
      </w:r>
      <w:bookmarkEnd w:id="6"/>
      <w:r>
        <w:rPr>
          <w:rFonts w:eastAsia="Tahoma" w:cs="Tahoma"/>
          <w:color w:val="000000"/>
          <w:sz w:val="23"/>
          <w:szCs w:val="23"/>
        </w:rPr>
        <w:t>[   ]Sì     [   ]No</w:t>
      </w:r>
    </w:p>
    <w:p>
      <w:pPr>
        <w:pStyle w:val="Normal"/>
        <w:widowControl w:val="false"/>
        <w:tabs>
          <w:tab w:val="left" w:pos="-14476" w:leader="none"/>
          <w:tab w:val="left" w:pos="-13484" w:leader="none"/>
        </w:tabs>
        <w:spacing w:lineRule="auto" w:line="360"/>
        <w:ind w:left="1304" w:right="0" w:hanging="0"/>
        <w:jc w:val="both"/>
        <w:rPr>
          <w:rFonts w:cs="Calibri Light"/>
          <w:sz w:val="23"/>
          <w:szCs w:val="23"/>
        </w:rPr>
      </w:pPr>
      <w:r>
        <w:rPr>
          <w:rFonts w:cs="Calibri Light"/>
          <w:sz w:val="23"/>
          <w:szCs w:val="23"/>
        </w:rPr>
      </w:r>
    </w:p>
    <w:p>
      <w:pPr>
        <w:pStyle w:val="Normal"/>
        <w:widowControl w:val="false"/>
        <w:tabs>
          <w:tab w:val="left" w:pos="-14476" w:leader="none"/>
          <w:tab w:val="left" w:pos="-13484" w:leader="none"/>
        </w:tabs>
        <w:suppressAutoHyphens w:val="true"/>
        <w:bidi w:val="0"/>
        <w:spacing w:lineRule="auto" w:line="360"/>
        <w:ind w:left="624" w:right="0" w:hanging="0"/>
        <w:jc w:val="both"/>
        <w:textAlignment w:val="baseline"/>
        <w:rPr>
          <w:rFonts w:eastAsia="Tahoma" w:cs="Calibri Light"/>
          <w:sz w:val="23"/>
          <w:szCs w:val="23"/>
        </w:rPr>
      </w:pPr>
      <w:r>
        <w:rPr>
          <w:rFonts w:eastAsia="Tahoma" w:cs="Calibri Light"/>
          <w:sz w:val="23"/>
          <w:szCs w:val="23"/>
        </w:rPr>
        <w:t>In caso di risposta affermativa, indicare:</w:t>
      </w:r>
    </w:p>
    <w:p>
      <w:pPr>
        <w:pStyle w:val="Normal"/>
        <w:widowControl w:val="false"/>
        <w:numPr>
          <w:ilvl w:val="0"/>
          <w:numId w:val="1"/>
        </w:numPr>
        <w:tabs>
          <w:tab w:val="left" w:pos="-14476" w:leader="none"/>
          <w:tab w:val="left" w:pos="-13484" w:leader="none"/>
        </w:tabs>
        <w:suppressAutoHyphens w:val="true"/>
        <w:bidi w:val="0"/>
        <w:spacing w:lineRule="auto" w:line="360"/>
        <w:ind w:left="964" w:right="0" w:hanging="360"/>
        <w:jc w:val="both"/>
        <w:textAlignment w:val="baseline"/>
        <w:rPr>
          <w:rFonts w:eastAsia="Tahoma" w:cs="Calibri Light"/>
          <w:sz w:val="23"/>
          <w:szCs w:val="23"/>
        </w:rPr>
      </w:pPr>
      <w:r>
        <w:rPr>
          <w:rFonts w:eastAsia="Tahoma" w:cs="Calibri Light"/>
          <w:sz w:val="23"/>
          <w:szCs w:val="23"/>
        </w:rPr>
        <w:t xml:space="preserve"> </w:t>
      </w:r>
      <w:r>
        <w:rPr>
          <w:rFonts w:eastAsia="Tahoma" w:cs="Calibri Light"/>
          <w:sz w:val="23"/>
          <w:szCs w:val="23"/>
        </w:rPr>
        <w:t xml:space="preserve">la data della condanna, del decreto penale di condanna o della sentenza di applicazione della pena su richiesta, la relativa durata e il reato commesso: </w:t>
      </w:r>
      <w:bookmarkStart w:id="7" w:name="_Hlk529259444"/>
      <w:r>
        <w:rPr>
          <w:rFonts w:eastAsia="Tahoma" w:cs="Calibri Light"/>
          <w:sz w:val="23"/>
          <w:szCs w:val="23"/>
        </w:rPr>
        <w:t>______________ _________________________________________________________________________</w:t>
      </w:r>
      <w:bookmarkEnd w:id="7"/>
      <w:r>
        <w:rPr>
          <w:rFonts w:eastAsia="Tahoma" w:cs="Calibri Light"/>
          <w:sz w:val="23"/>
          <w:szCs w:val="23"/>
        </w:rPr>
        <w:t>;</w:t>
      </w:r>
    </w:p>
    <w:p>
      <w:pPr>
        <w:pStyle w:val="Normal"/>
        <w:widowControl w:val="false"/>
        <w:tabs>
          <w:tab w:val="left" w:pos="-14476" w:leader="none"/>
          <w:tab w:val="left" w:pos="-13484" w:leader="none"/>
        </w:tabs>
        <w:spacing w:lineRule="auto" w:line="360"/>
        <w:ind w:left="1304" w:right="0" w:hanging="0"/>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uppressAutoHyphens w:val="true"/>
        <w:bidi w:val="0"/>
        <w:spacing w:lineRule="auto" w:line="360"/>
        <w:ind w:left="1020" w:right="0" w:hanging="360"/>
        <w:jc w:val="both"/>
        <w:textAlignment w:val="baseline"/>
        <w:rPr>
          <w:rFonts w:eastAsia="Tahoma" w:cs="Calibri Light"/>
          <w:sz w:val="23"/>
          <w:szCs w:val="23"/>
        </w:rPr>
      </w:pPr>
      <w:r>
        <w:rPr>
          <w:rFonts w:eastAsia="Tahoma" w:cs="Calibri Light"/>
          <w:sz w:val="23"/>
          <w:szCs w:val="23"/>
        </w:rPr>
        <w:t xml:space="preserve">i dati identificativi delle persone condannate: </w:t>
      </w:r>
      <w:bookmarkStart w:id="8" w:name="_Hlk529259454"/>
      <w:r>
        <w:rPr>
          <w:rFonts w:eastAsia="Tahoma" w:cs="Calibri Light"/>
          <w:sz w:val="23"/>
          <w:szCs w:val="23"/>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8"/>
      <w:r>
        <w:rPr>
          <w:rFonts w:eastAsia="Tahoma" w:cs="Calibri Light"/>
          <w:sz w:val="23"/>
          <w:szCs w:val="23"/>
        </w:rPr>
        <w:t>;</w:t>
      </w:r>
    </w:p>
    <w:p>
      <w:pPr>
        <w:pStyle w:val="ListParagraph"/>
        <w:rPr>
          <w:rFonts w:eastAsia="Tahoma" w:cs="Calibri Light" w:ascii="Times New Roman" w:hAnsi="Times New Roman"/>
          <w:sz w:val="23"/>
          <w:szCs w:val="23"/>
        </w:rPr>
      </w:pPr>
      <w:r>
        <w:rPr>
          <w:rFonts w:eastAsia="Tahoma" w:cs="Calibri Light" w:ascii="Times New Roman" w:hAnsi="Times New Roman"/>
          <w:sz w:val="23"/>
          <w:szCs w:val="23"/>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3"/>
          <w:szCs w:val="23"/>
        </w:rPr>
      </w:pPr>
      <w:r>
        <w:rPr>
          <w:rFonts w:eastAsia="Tahoma" w:cs="Calibri Light"/>
          <w:sz w:val="23"/>
          <w:szCs w:val="23"/>
        </w:rPr>
        <w:t>se stabilita direttamente nella sentenza di condanna, la durata della pena accessoria: durata del periodo di esclusione _______________________________________________;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3"/>
          <w:szCs w:val="23"/>
        </w:rPr>
      </w:pPr>
      <w:r>
        <w:rPr>
          <w:rFonts w:eastAsia="Tahoma" w:cs="Tahoma"/>
          <w:sz w:val="23"/>
          <w:szCs w:val="23"/>
        </w:rPr>
      </w:r>
    </w:p>
    <w:p>
      <w:pPr>
        <w:pStyle w:val="Normal"/>
        <w:tabs>
          <w:tab w:val="left" w:pos="1645" w:leader="none"/>
          <w:tab w:val="left" w:pos="2637" w:leader="none"/>
        </w:tabs>
        <w:spacing w:lineRule="auto" w:line="360"/>
        <w:ind w:left="1361" w:right="0" w:hanging="227"/>
        <w:jc w:val="left"/>
        <w:rPr>
          <w:rFonts w:eastAsia="Tahoma" w:cs="Tahoma"/>
          <w:sz w:val="23"/>
          <w:szCs w:val="23"/>
        </w:rPr>
      </w:pPr>
      <w:r>
        <w:rPr>
          <w:rFonts w:eastAsia="Tahoma" w:cs="Tahoma"/>
          <w:sz w:val="23"/>
          <w:szCs w:val="23"/>
        </w:rPr>
      </w:r>
    </w:p>
    <w:p>
      <w:pPr>
        <w:pStyle w:val="Normal"/>
        <w:widowControl w:val="false"/>
        <w:tabs>
          <w:tab w:val="left" w:pos="-31226" w:leader="none"/>
        </w:tabs>
        <w:ind w:left="454" w:right="0" w:hanging="0"/>
        <w:jc w:val="both"/>
        <w:rPr>
          <w:rFonts w:eastAsia="Tahoma" w:cs="Calibri Light"/>
          <w:b w:val="false"/>
          <w:bCs w:val="false"/>
          <w:sz w:val="23"/>
          <w:szCs w:val="23"/>
        </w:rPr>
      </w:pPr>
      <w:r>
        <w:rPr>
          <w:rFonts w:eastAsia="Tahoma" w:cs="Calibri Light"/>
          <w:b/>
          <w:sz w:val="23"/>
          <w:szCs w:val="23"/>
        </w:rPr>
        <w:t xml:space="preserve">- Motivi di esclusione previsti esclusivamente dalla legislazione nazionale </w:t>
      </w:r>
      <w:r>
        <w:rPr>
          <w:rFonts w:eastAsia="Tahoma" w:cs="Calibri Light"/>
          <w:b w:val="false"/>
          <w:bCs w:val="false"/>
          <w:sz w:val="23"/>
          <w:szCs w:val="23"/>
        </w:rPr>
        <w:t>(art. 80 comma 2 e comma 5, lett. b), c), c-bis), c-ter), f), f-bis), f-ter), g), h), i), l), m) del D. Lgs. 50/2016):</w:t>
      </w:r>
    </w:p>
    <w:p>
      <w:pPr>
        <w:pStyle w:val="Normal"/>
        <w:widowControl w:val="false"/>
        <w:tabs>
          <w:tab w:val="left" w:pos="-31680" w:leader="none"/>
        </w:tabs>
        <w:jc w:val="both"/>
        <w:rPr>
          <w:rFonts w:cs="Calibri Light"/>
          <w:sz w:val="23"/>
          <w:szCs w:val="23"/>
        </w:rPr>
      </w:pPr>
      <w:r>
        <w:rPr>
          <w:rFonts w:cs="Calibri Light"/>
          <w:sz w:val="23"/>
          <w:szCs w:val="23"/>
        </w:rPr>
      </w:r>
    </w:p>
    <w:p>
      <w:pPr>
        <w:pStyle w:val="Normal"/>
        <w:tabs>
          <w:tab w:val="left" w:pos="1588" w:leader="none"/>
          <w:tab w:val="left" w:pos="2580" w:leader="none"/>
        </w:tabs>
        <w:ind w:left="1304" w:right="0" w:hanging="0"/>
        <w:jc w:val="both"/>
        <w:rPr>
          <w:rFonts w:eastAsia="Tahoma" w:cs="Calibri Light"/>
          <w:sz w:val="23"/>
          <w:szCs w:val="23"/>
        </w:rPr>
      </w:pPr>
      <w:r>
        <w:rPr>
          <w:rFonts w:eastAsia="Tahoma" w:cs="Calibri Light"/>
          <w:sz w:val="23"/>
          <w:szCs w:val="23"/>
        </w:rPr>
      </w:r>
    </w:p>
    <w:p>
      <w:pPr>
        <w:pStyle w:val="Normal"/>
        <w:numPr>
          <w:ilvl w:val="0"/>
          <w:numId w:val="1"/>
        </w:numPr>
        <w:tabs>
          <w:tab w:val="left" w:pos="1588" w:leader="none"/>
          <w:tab w:val="left" w:pos="2580" w:leader="none"/>
        </w:tabs>
        <w:jc w:val="both"/>
        <w:rPr>
          <w:rFonts w:eastAsia="Tahoma" w:cs="Tahoma"/>
          <w:color w:val="000000"/>
          <w:sz w:val="23"/>
          <w:szCs w:val="23"/>
        </w:rPr>
      </w:pPr>
      <w:r>
        <w:rPr>
          <w:rFonts w:eastAsia="Tahoma" w:cs="Calibri Light"/>
          <w:sz w:val="23"/>
          <w:szCs w:val="23"/>
        </w:rPr>
        <w:t>Sussistono a carico dei soggetti indicati al comma 3</w:t>
      </w:r>
      <w:r>
        <w:rPr>
          <w:rStyle w:val="Richiamoallanotaapidipagina"/>
          <w:rFonts w:eastAsia="Tahoma" w:cs="Calibri Light"/>
          <w:sz w:val="23"/>
          <w:szCs w:val="23"/>
        </w:rPr>
        <w:footnoteReference w:customMarkFollows="1" w:id="4"/>
        <w:t>1</w:t>
      </w:r>
      <w:r>
        <w:rPr>
          <w:rFonts w:eastAsia="Tahoma" w:cs="Calibri Light"/>
          <w:sz w:val="23"/>
          <w:szCs w:val="23"/>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Resta fermo altresì quanto previsto dall'art. 34 bis, commi 6 e 7 del D. Lgs. 6 settembre 2011 n. 159. (Articolo 80, comma 2, del Codice)?</w:t>
      </w:r>
      <w:bookmarkStart w:id="9" w:name="__DdeLink__43111_913207732"/>
      <w:r>
        <w:rPr>
          <w:rFonts w:eastAsia="Tahoma" w:cs="Tahoma"/>
          <w:sz w:val="23"/>
          <w:szCs w:val="23"/>
        </w:rPr>
        <w:t xml:space="preserve">     </w:t>
      </w:r>
      <w:bookmarkEnd w:id="9"/>
      <w:r>
        <w:rPr>
          <w:rFonts w:eastAsia="Tahoma" w:cs="Tahoma"/>
          <w:color w:val="000000"/>
          <w:sz w:val="23"/>
          <w:szCs w:val="23"/>
        </w:rPr>
        <w:t>[   ]Sì     [   ]No</w:t>
      </w:r>
    </w:p>
    <w:p>
      <w:pPr>
        <w:pStyle w:val="Normal"/>
        <w:tabs>
          <w:tab w:val="left" w:pos="1588" w:leader="none"/>
          <w:tab w:val="left" w:pos="2580" w:leader="none"/>
        </w:tabs>
        <w:ind w:left="1304" w:right="0" w:hanging="0"/>
        <w:jc w:val="both"/>
        <w:rPr>
          <w:rFonts w:eastAsia="Tahoma" w:cs="Calibri Light"/>
          <w:sz w:val="23"/>
          <w:szCs w:val="23"/>
        </w:rPr>
      </w:pPr>
      <w:r>
        <w:rPr>
          <w:rFonts w:eastAsia="Tahoma" w:cs="Calibri Light"/>
          <w:sz w:val="23"/>
          <w:szCs w:val="23"/>
        </w:rPr>
      </w:r>
    </w:p>
    <w:p>
      <w:pPr>
        <w:pStyle w:val="Normal"/>
        <w:tabs>
          <w:tab w:val="left" w:pos="1588" w:leader="none"/>
          <w:tab w:val="left" w:pos="2580" w:leader="none"/>
        </w:tabs>
        <w:ind w:left="1304" w:right="0" w:hanging="0"/>
        <w:jc w:val="left"/>
        <w:rPr>
          <w:rFonts w:eastAsia="Tahoma" w:cs="Calibri Light"/>
          <w:sz w:val="23"/>
          <w:szCs w:val="23"/>
        </w:rPr>
      </w:pPr>
      <w:r>
        <w:rPr>
          <w:rFonts w:eastAsia="Tahoma" w:cs="Calibri Light"/>
          <w:sz w:val="23"/>
          <w:szCs w:val="23"/>
        </w:rPr>
      </w:r>
    </w:p>
    <w:p>
      <w:pPr>
        <w:pStyle w:val="Normale1"/>
        <w:tabs>
          <w:tab w:val="left" w:pos="1588" w:leader="none"/>
          <w:tab w:val="left" w:pos="2580" w:leader="none"/>
        </w:tabs>
        <w:ind w:left="737" w:right="0" w:hanging="0"/>
        <w:jc w:val="both"/>
        <w:rPr>
          <w:rFonts w:eastAsia="Tahoma" w:cs="Calibri Light"/>
          <w:sz w:val="23"/>
          <w:szCs w:val="23"/>
        </w:rPr>
      </w:pPr>
      <w:r>
        <w:rPr>
          <w:rFonts w:eastAsia="Tahoma" w:cs="Calibri Light"/>
          <w:sz w:val="23"/>
          <w:szCs w:val="23"/>
        </w:rPr>
        <w:t>L’operatore economico si trova in una delle seguenti situazioni?</w:t>
      </w:r>
    </w:p>
    <w:p>
      <w:pPr>
        <w:pStyle w:val="Normale1"/>
        <w:tabs>
          <w:tab w:val="left" w:pos="1588" w:leader="none"/>
          <w:tab w:val="left" w:pos="2580" w:leader="none"/>
        </w:tabs>
        <w:ind w:left="1304" w:right="0" w:hanging="0"/>
        <w:jc w:val="left"/>
        <w:rPr>
          <w:rFonts w:cs="Calibri Light"/>
          <w:sz w:val="23"/>
          <w:szCs w:val="23"/>
        </w:rPr>
      </w:pPr>
      <w:r>
        <w:rPr>
          <w:rFonts w:cs="Calibri Light"/>
          <w:sz w:val="23"/>
          <w:szCs w:val="23"/>
        </w:rPr>
      </w:r>
    </w:p>
    <w:p>
      <w:pPr>
        <w:pStyle w:val="Normale1"/>
        <w:widowControl/>
        <w:numPr>
          <w:ilvl w:val="0"/>
          <w:numId w:val="5"/>
        </w:numPr>
        <w:tabs>
          <w:tab w:val="left" w:pos="1563" w:leader="none"/>
          <w:tab w:val="left" w:pos="2580" w:leader="none"/>
        </w:tabs>
        <w:suppressAutoHyphens w:val="true"/>
        <w:overflowPunct w:val="true"/>
        <w:bidi w:val="0"/>
        <w:ind w:left="737" w:right="0" w:hanging="360"/>
        <w:jc w:val="both"/>
        <w:textAlignment w:val="baseline"/>
        <w:rPr>
          <w:rFonts w:eastAsia="Tahoma" w:cs="Tahoma"/>
          <w:color w:val="000000"/>
          <w:sz w:val="23"/>
          <w:szCs w:val="23"/>
        </w:rPr>
      </w:pPr>
      <w:r>
        <w:rPr>
          <w:rFonts w:eastAsia="Tahoma" w:cs="Calibri Light"/>
          <w:sz w:val="23"/>
          <w:szCs w:val="23"/>
        </w:rPr>
        <w:t xml:space="preserve">L'operatore economico è sottoposto a fallimento o si trovi in stato di liquidazione coatta o di concordato preventivo o sia in corso nei suoi confronti un procedimento per la dichiarazione di una di tali situazioni, fermo restando quanto previsto dagli articoli 110 e 186-bis del regio decreto 16 marzo 1942, n. 267 (Art. 80, comma 5, lett. b)?  </w:t>
      </w:r>
      <w:r>
        <w:rPr>
          <w:rFonts w:eastAsia="Tahoma" w:cs="Tahoma"/>
          <w:sz w:val="23"/>
          <w:szCs w:val="23"/>
        </w:rPr>
        <w:t xml:space="preserve">     </w:t>
      </w:r>
      <w:r>
        <w:rPr>
          <w:rFonts w:eastAsia="Tahoma" w:cs="Tahoma"/>
          <w:color w:val="000000"/>
          <w:sz w:val="23"/>
          <w:szCs w:val="23"/>
        </w:rPr>
        <w:t>[   ]Sì     [   ]No</w:t>
      </w:r>
    </w:p>
    <w:p>
      <w:pPr>
        <w:pStyle w:val="Normal"/>
        <w:tabs>
          <w:tab w:val="left" w:pos="1588" w:leader="none"/>
          <w:tab w:val="left" w:pos="2580" w:leader="none"/>
        </w:tabs>
        <w:ind w:left="1304" w:right="0" w:hanging="0"/>
        <w:jc w:val="left"/>
        <w:rPr>
          <w:rFonts w:eastAsia="Tahoma" w:cs="Calibri Light"/>
          <w:sz w:val="23"/>
          <w:szCs w:val="23"/>
        </w:rPr>
      </w:pPr>
      <w:r>
        <w:rPr>
          <w:rFonts w:eastAsia="Tahoma" w:cs="Calibri Light"/>
          <w:sz w:val="23"/>
          <w:szCs w:val="23"/>
        </w:rPr>
      </w:r>
    </w:p>
    <w:p>
      <w:pPr>
        <w:pStyle w:val="Normal"/>
        <w:tabs>
          <w:tab w:val="left" w:pos="1588" w:leader="none"/>
          <w:tab w:val="left" w:pos="2580" w:leader="none"/>
        </w:tabs>
        <w:ind w:left="1304" w:right="0" w:hanging="0"/>
        <w:jc w:val="left"/>
        <w:rPr>
          <w:rFonts w:eastAsia="Tahoma" w:cs="Calibri Light"/>
          <w:sz w:val="23"/>
          <w:szCs w:val="23"/>
        </w:rPr>
      </w:pPr>
      <w:r>
        <w:rPr>
          <w:rFonts w:eastAsia="Tahoma" w:cs="Calibri Light"/>
          <w:sz w:val="23"/>
          <w:szCs w:val="23"/>
        </w:rPr>
      </w:r>
    </w:p>
    <w:p>
      <w:pPr>
        <w:pStyle w:val="Normal"/>
        <w:numPr>
          <w:ilvl w:val="0"/>
          <w:numId w:val="1"/>
        </w:numPr>
        <w:tabs>
          <w:tab w:val="left" w:pos="1588" w:leader="none"/>
          <w:tab w:val="left" w:pos="2580" w:leader="none"/>
        </w:tabs>
        <w:jc w:val="both"/>
        <w:rPr>
          <w:rFonts w:eastAsia="Tahoma" w:cs="Tahoma"/>
          <w:color w:val="000000"/>
          <w:sz w:val="23"/>
          <w:szCs w:val="23"/>
        </w:rPr>
      </w:pPr>
      <w:r>
        <w:rPr>
          <w:rFonts w:cs="Calibri Light"/>
          <w:sz w:val="23"/>
          <w:szCs w:val="23"/>
        </w:rPr>
        <w:t xml:space="preserve">L’operatore economico si è reso colpevole di gravi illeciti professionali, tali da rendere dubbia la sua integrità o affidabilità </w:t>
      </w:r>
      <w:r>
        <w:rPr>
          <w:rFonts w:eastAsia="Tahoma" w:cs="Calibri Light"/>
          <w:sz w:val="23"/>
          <w:szCs w:val="23"/>
        </w:rPr>
        <w:t>(Art. 80, comma 5, lett. c)</w:t>
      </w:r>
      <w:r>
        <w:rPr>
          <w:rFonts w:cs="Calibri Light"/>
          <w:sz w:val="23"/>
          <w:szCs w:val="23"/>
        </w:rPr>
        <w:t>?</w:t>
      </w:r>
      <w:bookmarkStart w:id="10" w:name="__DdeLink__43111_913207733"/>
      <w:r>
        <w:rPr>
          <w:rFonts w:eastAsia="Tahoma" w:cs="Tahoma"/>
          <w:sz w:val="23"/>
          <w:szCs w:val="23"/>
        </w:rPr>
        <w:t xml:space="preserve">     </w:t>
      </w:r>
      <w:bookmarkEnd w:id="10"/>
      <w:r>
        <w:rPr>
          <w:rFonts w:eastAsia="Tahoma" w:cs="Tahoma"/>
          <w:color w:val="000000"/>
          <w:sz w:val="23"/>
          <w:szCs w:val="23"/>
        </w:rPr>
        <w:t>[   ]Sì     [   ]No</w:t>
      </w:r>
    </w:p>
    <w:p>
      <w:pPr>
        <w:pStyle w:val="Normal"/>
        <w:tabs>
          <w:tab w:val="left" w:pos="1588" w:leader="none"/>
          <w:tab w:val="left" w:pos="2580" w:leader="none"/>
        </w:tabs>
        <w:ind w:left="1304" w:right="0" w:hanging="0"/>
        <w:jc w:val="both"/>
        <w:rPr>
          <w:rFonts w:cs="Calibri Light"/>
          <w:sz w:val="23"/>
          <w:szCs w:val="23"/>
        </w:rPr>
      </w:pPr>
      <w:r>
        <w:rPr>
          <w:rFonts w:cs="Calibri Light"/>
          <w:sz w:val="23"/>
          <w:szCs w:val="23"/>
        </w:rPr>
      </w:r>
    </w:p>
    <w:p>
      <w:pPr>
        <w:pStyle w:val="Normal"/>
        <w:tabs>
          <w:tab w:val="left" w:pos="1588" w:leader="none"/>
          <w:tab w:val="left" w:pos="2580" w:leader="none"/>
        </w:tabs>
        <w:ind w:left="1304" w:right="0" w:hanging="0"/>
        <w:jc w:val="both"/>
        <w:rPr>
          <w:rFonts w:cs="Calibri Light"/>
          <w:sz w:val="23"/>
          <w:szCs w:val="23"/>
        </w:rPr>
      </w:pPr>
      <w:r>
        <w:rPr>
          <w:rFonts w:cs="Calibri Light"/>
          <w:sz w:val="23"/>
          <w:szCs w:val="23"/>
        </w:rPr>
      </w:r>
    </w:p>
    <w:p>
      <w:pPr>
        <w:pStyle w:val="Normal"/>
        <w:numPr>
          <w:ilvl w:val="0"/>
          <w:numId w:val="1"/>
        </w:numPr>
        <w:tabs>
          <w:tab w:val="left" w:pos="1588" w:leader="none"/>
          <w:tab w:val="left" w:pos="2580" w:leader="none"/>
        </w:tabs>
        <w:jc w:val="both"/>
        <w:rPr>
          <w:rFonts w:cs="Calibri Light"/>
          <w:sz w:val="23"/>
          <w:szCs w:val="23"/>
        </w:rPr>
      </w:pPr>
      <w:r>
        <w:rPr>
          <w:rFonts w:cs="Calibri Light"/>
          <w:sz w:val="23"/>
          <w:szCs w:val="23"/>
        </w:rPr>
        <w:t xml:space="preserve"> </w:t>
      </w:r>
      <w:r>
        <w:rPr>
          <w:rFonts w:cs="Calibri Light"/>
          <w:sz w:val="23"/>
          <w:szCs w:val="23"/>
        </w:rPr>
        <w:t xml:space="preserve">L’operatore economico </w:t>
      </w:r>
      <w:r>
        <w:rPr>
          <w:rFonts w:cs="Calibri Light"/>
          <w:bCs/>
          <w:sz w:val="23"/>
          <w:szCs w:val="23"/>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sz w:val="23"/>
          <w:szCs w:val="23"/>
        </w:rPr>
        <w:t xml:space="preserve"> </w:t>
      </w:r>
      <w:r>
        <w:rPr>
          <w:rFonts w:eastAsia="Tahoma" w:cs="Calibri Light"/>
          <w:sz w:val="23"/>
          <w:szCs w:val="23"/>
        </w:rPr>
        <w:t>(Art. 80, comma 5, lett. C-bis)</w:t>
      </w:r>
      <w:r>
        <w:rPr>
          <w:rFonts w:cs="Calibri Light"/>
          <w:sz w:val="23"/>
          <w:szCs w:val="23"/>
        </w:rPr>
        <w:t>?</w:t>
      </w:r>
    </w:p>
    <w:p>
      <w:pPr>
        <w:pStyle w:val="Normal"/>
        <w:tabs>
          <w:tab w:val="left" w:pos="1588" w:leader="none"/>
          <w:tab w:val="left" w:pos="2580" w:leader="none"/>
        </w:tabs>
        <w:jc w:val="both"/>
        <w:rPr>
          <w:rFonts w:eastAsia="Tahoma" w:cs="Tahoma"/>
          <w:color w:val="000000"/>
          <w:sz w:val="23"/>
          <w:szCs w:val="23"/>
        </w:rPr>
      </w:pPr>
      <w:bookmarkStart w:id="11" w:name="__DdeLink__43111_913207734"/>
      <w:r>
        <w:rPr>
          <w:rFonts w:eastAsia="Tahoma" w:cs="Tahoma"/>
          <w:sz w:val="23"/>
          <w:szCs w:val="23"/>
        </w:rPr>
        <w:t xml:space="preserve">     </w:t>
      </w:r>
      <w:bookmarkEnd w:id="11"/>
      <w:r>
        <w:rPr>
          <w:rFonts w:eastAsia="Tahoma" w:cs="Tahoma"/>
          <w:color w:val="000000"/>
          <w:sz w:val="23"/>
          <w:szCs w:val="23"/>
        </w:rPr>
        <w:t>[   ]Sì     [   ]No</w:t>
      </w:r>
    </w:p>
    <w:p>
      <w:pPr>
        <w:pStyle w:val="Normal"/>
        <w:tabs>
          <w:tab w:val="left" w:pos="1588" w:leader="none"/>
          <w:tab w:val="left" w:pos="2580" w:leader="none"/>
        </w:tabs>
        <w:ind w:left="1276" w:right="0" w:hanging="0"/>
        <w:jc w:val="both"/>
        <w:rPr>
          <w:rFonts w:cs="Calibri Light"/>
          <w:sz w:val="23"/>
          <w:szCs w:val="23"/>
        </w:rPr>
      </w:pPr>
      <w:r>
        <w:rPr>
          <w:rFonts w:cs="Calibri Light"/>
          <w:sz w:val="23"/>
          <w:szCs w:val="23"/>
        </w:rPr>
      </w:r>
    </w:p>
    <w:p>
      <w:pPr>
        <w:pStyle w:val="Normal"/>
        <w:tabs>
          <w:tab w:val="left" w:pos="1588" w:leader="none"/>
          <w:tab w:val="left" w:pos="2580" w:leader="none"/>
        </w:tabs>
        <w:ind w:left="1304" w:right="0" w:hanging="0"/>
        <w:jc w:val="both"/>
        <w:rPr>
          <w:rFonts w:cs="Calibri Light"/>
          <w:sz w:val="23"/>
          <w:szCs w:val="23"/>
        </w:rPr>
      </w:pPr>
      <w:r>
        <w:rPr>
          <w:rFonts w:cs="Calibri Light"/>
          <w:sz w:val="23"/>
          <w:szCs w:val="23"/>
        </w:rPr>
      </w:r>
    </w:p>
    <w:p>
      <w:pPr>
        <w:pStyle w:val="Normal"/>
        <w:numPr>
          <w:ilvl w:val="0"/>
          <w:numId w:val="1"/>
        </w:numPr>
        <w:tabs>
          <w:tab w:val="left" w:pos="1588" w:leader="none"/>
          <w:tab w:val="left" w:pos="2580" w:leader="none"/>
        </w:tabs>
        <w:jc w:val="both"/>
        <w:rPr>
          <w:rFonts w:eastAsia="Tahoma" w:cs="Tahoma"/>
          <w:color w:val="000000"/>
          <w:sz w:val="23"/>
          <w:szCs w:val="23"/>
        </w:rPr>
      </w:pPr>
      <w:r>
        <w:rPr>
          <w:rFonts w:cs="Calibri Light"/>
          <w:sz w:val="23"/>
          <w:szCs w:val="23"/>
        </w:rPr>
        <w:t xml:space="preserve"> </w:t>
      </w:r>
      <w:r>
        <w:rPr>
          <w:rFonts w:cs="Calibri Light"/>
          <w:sz w:val="23"/>
          <w:szCs w:val="23"/>
        </w:rPr>
        <w:t xml:space="preserve">L’operatore economico </w:t>
      </w:r>
      <w:r>
        <w:rPr>
          <w:rFonts w:cs="Calibri Light"/>
          <w:bCs/>
          <w:sz w:val="23"/>
          <w:szCs w:val="23"/>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sz w:val="23"/>
          <w:szCs w:val="23"/>
        </w:rPr>
        <w:t xml:space="preserve"> </w:t>
      </w:r>
      <w:r>
        <w:rPr>
          <w:rFonts w:eastAsia="Tahoma" w:cs="Calibri Light"/>
          <w:sz w:val="23"/>
          <w:szCs w:val="23"/>
        </w:rPr>
        <w:t>(Art. 80, comma 5, lett. c-ter)</w:t>
      </w:r>
      <w:r>
        <w:rPr>
          <w:rFonts w:cs="Calibri Light"/>
          <w:sz w:val="23"/>
          <w:szCs w:val="23"/>
        </w:rPr>
        <w:t>?</w:t>
      </w:r>
      <w:bookmarkStart w:id="12" w:name="__DdeLink__43111_913207735"/>
      <w:r>
        <w:rPr>
          <w:rFonts w:eastAsia="Tahoma" w:cs="Tahoma"/>
          <w:sz w:val="23"/>
          <w:szCs w:val="23"/>
        </w:rPr>
        <w:t xml:space="preserve">     </w:t>
      </w:r>
      <w:bookmarkEnd w:id="12"/>
      <w:r>
        <w:rPr>
          <w:rFonts w:eastAsia="Tahoma" w:cs="Tahoma"/>
          <w:color w:val="000000"/>
          <w:sz w:val="23"/>
          <w:szCs w:val="23"/>
        </w:rPr>
        <w:t>[   ]Sì     [   ]No</w:t>
      </w:r>
    </w:p>
    <w:p>
      <w:pPr>
        <w:pStyle w:val="Normal"/>
        <w:tabs>
          <w:tab w:val="left" w:pos="1588" w:leader="none"/>
          <w:tab w:val="left" w:pos="2580" w:leader="none"/>
        </w:tabs>
        <w:ind w:left="1304" w:right="0" w:hanging="0"/>
        <w:jc w:val="both"/>
        <w:rPr>
          <w:rFonts w:eastAsia="Tahoma" w:cs="Calibri Light"/>
          <w:sz w:val="23"/>
          <w:szCs w:val="23"/>
        </w:rPr>
      </w:pPr>
      <w:r>
        <w:rPr>
          <w:rFonts w:eastAsia="Tahoma" w:cs="Calibri Light"/>
          <w:sz w:val="23"/>
          <w:szCs w:val="23"/>
        </w:rPr>
      </w:r>
    </w:p>
    <w:p>
      <w:pPr>
        <w:pStyle w:val="Normal"/>
        <w:tabs>
          <w:tab w:val="left" w:pos="1588" w:leader="none"/>
          <w:tab w:val="left" w:pos="2580" w:leader="none"/>
        </w:tabs>
        <w:ind w:left="1304" w:right="0" w:hanging="0"/>
        <w:jc w:val="both"/>
        <w:rPr>
          <w:rFonts w:eastAsia="Tahoma" w:cs="Calibri Light"/>
          <w:sz w:val="23"/>
          <w:szCs w:val="23"/>
        </w:rPr>
      </w:pPr>
      <w:r>
        <w:rPr>
          <w:rFonts w:eastAsia="Tahoma" w:cs="Calibri Light"/>
          <w:sz w:val="23"/>
          <w:szCs w:val="23"/>
        </w:rPr>
      </w:r>
    </w:p>
    <w:p>
      <w:pPr>
        <w:pStyle w:val="Normal"/>
        <w:widowControl/>
        <w:numPr>
          <w:ilvl w:val="0"/>
          <w:numId w:val="1"/>
        </w:numPr>
        <w:tabs>
          <w:tab w:val="left" w:pos="1588" w:leader="none"/>
          <w:tab w:val="left" w:pos="2580" w:leader="none"/>
        </w:tabs>
        <w:suppressAutoHyphens w:val="true"/>
        <w:bidi w:val="0"/>
        <w:ind w:left="794" w:right="0" w:hanging="360"/>
        <w:jc w:val="both"/>
        <w:textAlignment w:val="baseline"/>
        <w:rPr>
          <w:rFonts w:eastAsia="Tahoma" w:cs="Tahoma"/>
          <w:color w:val="000000"/>
          <w:sz w:val="23"/>
          <w:szCs w:val="23"/>
        </w:rPr>
      </w:pPr>
      <w:r>
        <w:rPr>
          <w:rFonts w:eastAsia="Tahoma" w:cs="Calibri Light"/>
          <w:sz w:val="23"/>
          <w:szCs w:val="23"/>
        </w:rPr>
        <w:t xml:space="preserve"> </w:t>
      </w:r>
      <w:r>
        <w:rPr>
          <w:rFonts w:eastAsia="Tahoma" w:cs="Calibri Light"/>
          <w:sz w:val="23"/>
          <w:szCs w:val="23"/>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color w:val="00000A"/>
          <w:sz w:val="23"/>
          <w:szCs w:val="23"/>
          <w:u w:val="none"/>
        </w:rPr>
        <w:t>articolo 9, comma 2, lettera c) del decreto legislativo 8 giugno 2001, n. 231</w:t>
      </w:r>
      <w:r>
        <w:fldChar w:fldCharType="end"/>
      </w:r>
      <w:r>
        <w:rPr>
          <w:rFonts w:eastAsia="Tahoma" w:cs="Calibri Light"/>
          <w:sz w:val="23"/>
          <w:szCs w:val="23"/>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color w:val="00000A"/>
          <w:sz w:val="23"/>
          <w:szCs w:val="23"/>
          <w:u w:val="none"/>
        </w:rPr>
        <w:t>articolo 14 del decreto legislativo 9 aprile 2008, n. 81</w:t>
      </w:r>
      <w:r>
        <w:fldChar w:fldCharType="end"/>
      </w:r>
      <w:r>
        <w:rPr>
          <w:rFonts w:eastAsia="Tahoma" w:cs="Calibri Light"/>
          <w:sz w:val="23"/>
          <w:szCs w:val="23"/>
        </w:rPr>
        <w:t xml:space="preserve"> (Art. 80, comma 5, lettera f)?:</w:t>
      </w:r>
      <w:bookmarkStart w:id="13" w:name="__DdeLink__43111_913207736"/>
      <w:r>
        <w:rPr>
          <w:rFonts w:eastAsia="Tahoma" w:cs="Tahoma"/>
          <w:sz w:val="23"/>
          <w:szCs w:val="23"/>
        </w:rPr>
        <w:t xml:space="preserve">     </w:t>
      </w:r>
      <w:bookmarkEnd w:id="13"/>
      <w:r>
        <w:rPr>
          <w:rFonts w:eastAsia="Tahoma" w:cs="Tahoma"/>
          <w:color w:val="000000"/>
          <w:sz w:val="23"/>
          <w:szCs w:val="23"/>
        </w:rPr>
        <w:t>[   ]Sì     [   ]No</w:t>
      </w:r>
    </w:p>
    <w:p>
      <w:pPr>
        <w:pStyle w:val="Normal"/>
        <w:tabs>
          <w:tab w:val="left" w:pos="1588" w:leader="none"/>
          <w:tab w:val="left" w:pos="2580" w:leader="none"/>
        </w:tabs>
        <w:ind w:left="1304" w:right="0" w:hanging="0"/>
        <w:jc w:val="both"/>
        <w:rPr>
          <w:rFonts w:cs="Calibri Light"/>
          <w:sz w:val="23"/>
          <w:szCs w:val="23"/>
        </w:rPr>
      </w:pPr>
      <w:r>
        <w:rPr>
          <w:rFonts w:cs="Calibri Light"/>
          <w:sz w:val="23"/>
          <w:szCs w:val="23"/>
        </w:rPr>
      </w:r>
    </w:p>
    <w:p>
      <w:pPr>
        <w:pStyle w:val="Normal"/>
        <w:tabs>
          <w:tab w:val="left" w:pos="1588" w:leader="none"/>
          <w:tab w:val="left" w:pos="2580" w:leader="none"/>
        </w:tabs>
        <w:ind w:left="1304" w:right="0" w:hanging="0"/>
        <w:jc w:val="both"/>
        <w:rPr>
          <w:rFonts w:cs="Calibri Light"/>
          <w:sz w:val="23"/>
          <w:szCs w:val="23"/>
        </w:rPr>
      </w:pPr>
      <w:r>
        <w:rPr>
          <w:rFonts w:cs="Calibri Light"/>
          <w:sz w:val="23"/>
          <w:szCs w:val="23"/>
        </w:rPr>
      </w:r>
    </w:p>
    <w:p>
      <w:pPr>
        <w:pStyle w:val="Normal"/>
        <w:widowControl/>
        <w:numPr>
          <w:ilvl w:val="0"/>
          <w:numId w:val="1"/>
        </w:numPr>
        <w:tabs>
          <w:tab w:val="left" w:pos="1588" w:leader="none"/>
          <w:tab w:val="left" w:pos="2580" w:leader="none"/>
        </w:tabs>
        <w:suppressAutoHyphens w:val="true"/>
        <w:bidi w:val="0"/>
        <w:ind w:left="794" w:right="0" w:hanging="360"/>
        <w:jc w:val="both"/>
        <w:textAlignment w:val="baseline"/>
        <w:rPr>
          <w:rFonts w:eastAsia="Tahoma" w:cs="Calibri Light"/>
          <w:sz w:val="23"/>
          <w:szCs w:val="23"/>
        </w:rPr>
      </w:pPr>
      <w:r>
        <w:rPr>
          <w:rFonts w:eastAsia="Tahoma" w:cs="Calibri Light"/>
          <w:sz w:val="23"/>
          <w:szCs w:val="23"/>
        </w:rPr>
        <w:t xml:space="preserve"> </w:t>
      </w:r>
      <w:r>
        <w:rPr>
          <w:rFonts w:eastAsia="Tahoma" w:cs="Calibri Light"/>
          <w:sz w:val="23"/>
          <w:szCs w:val="23"/>
        </w:rPr>
        <w:t>Ha presentato nella procedura di gara in corso o negli affidamenti di subappalti documentazione o dichiarazioni non veritiere (Art. 80, comma 5, lettera f-bis)?:</w:t>
      </w:r>
    </w:p>
    <w:p>
      <w:pPr>
        <w:pStyle w:val="Normal"/>
        <w:widowControl w:val="false"/>
        <w:tabs>
          <w:tab w:val="left" w:pos="1588" w:leader="none"/>
          <w:tab w:val="left" w:pos="2580" w:leader="none"/>
        </w:tabs>
        <w:suppressAutoHyphens w:val="true"/>
        <w:bidi w:val="0"/>
        <w:spacing w:lineRule="auto" w:line="360"/>
        <w:ind w:left="1304" w:right="0" w:hanging="0"/>
        <w:jc w:val="both"/>
        <w:textAlignment w:val="baseline"/>
        <w:rPr>
          <w:rFonts w:eastAsia="Tahoma" w:cs="Tahoma"/>
          <w:b w:val="false"/>
          <w:bCs w:val="false"/>
          <w:color w:val="000000"/>
          <w:sz w:val="23"/>
          <w:szCs w:val="23"/>
        </w:rPr>
      </w:pPr>
      <w:bookmarkStart w:id="14" w:name="__DdeLink__43111_913207737"/>
      <w:r>
        <w:rPr>
          <w:rFonts w:eastAsia="Tahoma" w:cs="Tahoma"/>
          <w:b w:val="false"/>
          <w:bCs w:val="false"/>
          <w:sz w:val="23"/>
          <w:szCs w:val="23"/>
        </w:rPr>
        <w:t xml:space="preserve">     </w:t>
      </w:r>
      <w:bookmarkEnd w:id="14"/>
      <w:r>
        <w:rPr>
          <w:rFonts w:eastAsia="Tahoma" w:cs="Tahoma"/>
          <w:b w:val="false"/>
          <w:bCs w:val="false"/>
          <w:color w:val="000000"/>
          <w:sz w:val="23"/>
          <w:szCs w:val="23"/>
        </w:rPr>
        <w:t>[   ]Sì     [   ]No</w:t>
      </w:r>
    </w:p>
    <w:p>
      <w:pPr>
        <w:pStyle w:val="Normal"/>
        <w:tabs>
          <w:tab w:val="left" w:pos="1588" w:leader="none"/>
          <w:tab w:val="left" w:pos="2580" w:leader="none"/>
        </w:tabs>
        <w:ind w:left="1664" w:right="0" w:hanging="0"/>
        <w:jc w:val="both"/>
        <w:rPr>
          <w:rFonts w:eastAsia="Tahoma" w:cs="Calibri Light"/>
          <w:sz w:val="23"/>
          <w:szCs w:val="23"/>
        </w:rPr>
      </w:pPr>
      <w:r>
        <w:rPr>
          <w:rFonts w:eastAsia="Tahoma" w:cs="Calibri Light"/>
          <w:sz w:val="23"/>
          <w:szCs w:val="23"/>
        </w:rPr>
      </w:r>
    </w:p>
    <w:p>
      <w:pPr>
        <w:pStyle w:val="Normal"/>
        <w:widowControl w:val="false"/>
        <w:tabs>
          <w:tab w:val="left" w:pos="-14930" w:leader="none"/>
          <w:tab w:val="left" w:pos="-13938" w:leader="none"/>
        </w:tabs>
        <w:ind w:left="850" w:right="0" w:hanging="0"/>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uppressAutoHyphens w:val="true"/>
        <w:bidi w:val="0"/>
        <w:spacing w:lineRule="auto" w:line="276"/>
        <w:ind w:left="794" w:right="0" w:hanging="360"/>
        <w:jc w:val="both"/>
        <w:textAlignment w:val="baseline"/>
        <w:rPr>
          <w:rFonts w:eastAsia="Tahoma" w:cs="Calibri Light"/>
          <w:sz w:val="23"/>
          <w:szCs w:val="23"/>
        </w:rPr>
      </w:pPr>
      <w:r>
        <w:rPr>
          <w:rFonts w:eastAsia="Tahoma" w:cs="Calibri Light"/>
          <w:sz w:val="23"/>
          <w:szCs w:val="23"/>
        </w:rPr>
        <w:t xml:space="preserve"> </w:t>
      </w:r>
      <w:r>
        <w:rPr>
          <w:rFonts w:eastAsia="Tahoma" w:cs="Calibri Light"/>
          <w:sz w:val="23"/>
          <w:szCs w:val="23"/>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pPr>
        <w:pStyle w:val="Normal"/>
        <w:widowControl w:val="false"/>
        <w:tabs>
          <w:tab w:val="left" w:pos="1588" w:leader="none"/>
          <w:tab w:val="left" w:pos="2580" w:leader="none"/>
        </w:tabs>
        <w:spacing w:lineRule="auto" w:line="360"/>
        <w:ind w:left="1304" w:right="0" w:hanging="0"/>
        <w:jc w:val="both"/>
        <w:rPr>
          <w:rFonts w:eastAsia="Tahoma" w:cs="Tahoma"/>
          <w:color w:val="000000"/>
          <w:sz w:val="23"/>
          <w:szCs w:val="23"/>
        </w:rPr>
      </w:pPr>
      <w:bookmarkStart w:id="15" w:name="__DdeLink__43111_913207738"/>
      <w:r>
        <w:rPr>
          <w:rFonts w:eastAsia="Tahoma" w:cs="Tahoma"/>
          <w:sz w:val="23"/>
          <w:szCs w:val="23"/>
        </w:rPr>
        <w:t xml:space="preserve">     </w:t>
      </w:r>
      <w:bookmarkEnd w:id="15"/>
      <w:r>
        <w:rPr>
          <w:rFonts w:eastAsia="Tahoma" w:cs="Tahoma"/>
          <w:color w:val="000000"/>
          <w:sz w:val="23"/>
          <w:szCs w:val="23"/>
        </w:rPr>
        <w:t>[   ]Sì     [   ]No</w:t>
      </w:r>
    </w:p>
    <w:p>
      <w:pPr>
        <w:pStyle w:val="Normal"/>
        <w:widowControl w:val="false"/>
        <w:tabs>
          <w:tab w:val="left" w:pos="-14476" w:leader="none"/>
          <w:tab w:val="left" w:pos="-13484" w:leader="none"/>
        </w:tabs>
        <w:ind w:left="1304" w:right="0" w:hanging="0"/>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pacing w:lineRule="auto" w:line="276"/>
        <w:jc w:val="both"/>
        <w:rPr>
          <w:rFonts w:eastAsia="Tahoma" w:cs="Calibri Light"/>
          <w:sz w:val="23"/>
          <w:szCs w:val="23"/>
        </w:rPr>
      </w:pPr>
      <w:r>
        <w:rPr>
          <w:rFonts w:eastAsia="Tahoma" w:cs="Calibri Light"/>
          <w:sz w:val="23"/>
          <w:szCs w:val="23"/>
        </w:rPr>
        <w:t xml:space="preserve"> </w:t>
      </w:r>
      <w:r>
        <w:rPr>
          <w:rFonts w:eastAsia="Tahoma" w:cs="Calibri Light"/>
          <w:sz w:val="23"/>
          <w:szCs w:val="23"/>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w:t>
      </w:r>
      <w:bookmarkStart w:id="16" w:name="__DdeLink__43111_913207739"/>
      <w:r>
        <w:rPr>
          <w:rFonts w:eastAsia="Tahoma" w:cs="Tahoma"/>
          <w:sz w:val="23"/>
          <w:szCs w:val="23"/>
        </w:rPr>
        <w:t xml:space="preserve">     </w:t>
      </w:r>
      <w:bookmarkEnd w:id="16"/>
      <w:r>
        <w:rPr>
          <w:rFonts w:eastAsia="Tahoma" w:cs="Tahoma"/>
          <w:color w:val="000000"/>
          <w:sz w:val="23"/>
          <w:szCs w:val="23"/>
        </w:rPr>
        <w:t>[   ]Sì     [   ]No</w:t>
      </w:r>
      <w:r>
        <w:rPr>
          <w:rFonts w:eastAsia="Tahoma" w:cs="Calibri Light"/>
          <w:sz w:val="23"/>
          <w:szCs w:val="23"/>
        </w:rPr>
        <w:t xml:space="preserve">          In caso di risposta affermativa indicare il periodo per il quale perdura l’iscrizione </w:t>
      </w:r>
      <w:bookmarkStart w:id="17" w:name="_Hlk529259626"/>
      <w:r>
        <w:rPr>
          <w:rFonts w:eastAsia="Tahoma" w:cs="Calibri Light"/>
          <w:sz w:val="23"/>
          <w:szCs w:val="23"/>
        </w:rPr>
        <w:t>_________________________________________</w:t>
      </w:r>
      <w:bookmarkEnd w:id="17"/>
      <w:r>
        <w:rPr>
          <w:rFonts w:eastAsia="Tahoma" w:cs="Calibri Light"/>
          <w:sz w:val="23"/>
          <w:szCs w:val="23"/>
        </w:rPr>
        <w:t>;</w:t>
      </w:r>
    </w:p>
    <w:p>
      <w:pPr>
        <w:pStyle w:val="Normal"/>
        <w:widowControl w:val="false"/>
        <w:tabs>
          <w:tab w:val="left" w:pos="-14476" w:leader="none"/>
          <w:tab w:val="left" w:pos="-13484" w:leader="none"/>
        </w:tabs>
        <w:spacing w:lineRule="auto" w:line="276"/>
        <w:ind w:left="1304" w:right="0" w:hanging="0"/>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pacing w:lineRule="auto" w:line="276"/>
        <w:jc w:val="both"/>
        <w:rPr>
          <w:rFonts w:eastAsia="Tahoma" w:cs="Tahoma"/>
          <w:color w:val="000000"/>
          <w:sz w:val="23"/>
          <w:szCs w:val="23"/>
        </w:rPr>
      </w:pPr>
      <w:r>
        <w:rPr>
          <w:rFonts w:eastAsia="Tahoma" w:cs="Calibri Light"/>
          <w:sz w:val="23"/>
          <w:szCs w:val="23"/>
        </w:rPr>
        <w:t xml:space="preserve"> </w:t>
      </w:r>
      <w:r>
        <w:rPr>
          <w:rFonts w:eastAsia="Tahoma" w:cs="Calibri Light"/>
          <w:sz w:val="23"/>
          <w:szCs w:val="23"/>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color w:val="000000"/>
          <w:sz w:val="23"/>
          <w:szCs w:val="23"/>
        </w:rPr>
        <w:t>articolo 17 della legge 19 marzo 1990, n. 55</w:t>
      </w:r>
      <w:r>
        <w:fldChar w:fldCharType="end"/>
      </w:r>
      <w:r>
        <w:rPr>
          <w:rFonts w:eastAsia="Tahoma" w:cs="Calibri Light"/>
          <w:sz w:val="23"/>
          <w:szCs w:val="23"/>
        </w:rPr>
        <w:t>. (Art. 80, comma 5, lettera h)?</w:t>
      </w:r>
      <w:bookmarkStart w:id="18" w:name="__DdeLink__43111_9132077310"/>
      <w:r>
        <w:rPr>
          <w:rFonts w:eastAsia="Tahoma" w:cs="Tahoma"/>
          <w:sz w:val="23"/>
          <w:szCs w:val="23"/>
        </w:rPr>
        <w:t xml:space="preserve">     </w:t>
      </w:r>
      <w:bookmarkEnd w:id="18"/>
      <w:r>
        <w:rPr>
          <w:rFonts w:eastAsia="Tahoma" w:cs="Tahoma"/>
          <w:color w:val="000000"/>
          <w:sz w:val="23"/>
          <w:szCs w:val="23"/>
        </w:rPr>
        <w:t>[   ]Sì     [   ]No</w:t>
      </w:r>
    </w:p>
    <w:p>
      <w:pPr>
        <w:pStyle w:val="Normal"/>
        <w:widowControl w:val="false"/>
        <w:tabs>
          <w:tab w:val="left" w:pos="-14476" w:leader="none"/>
          <w:tab w:val="left" w:pos="-13484" w:leader="none"/>
        </w:tabs>
        <w:suppressAutoHyphens w:val="true"/>
        <w:bidi w:val="0"/>
        <w:ind w:left="680" w:right="0" w:hanging="0"/>
        <w:jc w:val="both"/>
        <w:textAlignment w:val="baseline"/>
        <w:rPr>
          <w:rFonts w:eastAsia="Tahoma" w:cs="Tahoma"/>
          <w:color w:val="000000"/>
          <w:sz w:val="23"/>
          <w:szCs w:val="23"/>
        </w:rPr>
      </w:pPr>
      <w:r>
        <w:rPr>
          <w:rFonts w:cs="Calibri Light"/>
          <w:sz w:val="23"/>
          <w:szCs w:val="23"/>
        </w:rPr>
        <w:t>In caso di risposta affermativa indicare la data di accertamento _____________________ e se la sanzione è stata rimossa:</w:t>
      </w:r>
      <w:bookmarkStart w:id="19" w:name="__DdeLink__43111_9132077311"/>
      <w:r>
        <w:rPr>
          <w:rFonts w:eastAsia="Tahoma" w:cs="Tahoma"/>
          <w:sz w:val="23"/>
          <w:szCs w:val="23"/>
        </w:rPr>
        <w:t xml:space="preserve">     </w:t>
      </w:r>
      <w:bookmarkEnd w:id="19"/>
      <w:r>
        <w:rPr>
          <w:rFonts w:eastAsia="Tahoma" w:cs="Tahoma"/>
          <w:color w:val="000000"/>
          <w:sz w:val="23"/>
          <w:szCs w:val="23"/>
        </w:rPr>
        <w:t>[   ]Sì     [   ]No</w:t>
      </w:r>
    </w:p>
    <w:p>
      <w:pPr>
        <w:pStyle w:val="Normal"/>
        <w:widowControl w:val="false"/>
        <w:tabs>
          <w:tab w:val="left" w:pos="-14476" w:leader="none"/>
          <w:tab w:val="left" w:pos="-13484" w:leader="none"/>
        </w:tabs>
        <w:ind w:left="1304" w:right="0" w:hanging="0"/>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uppressAutoHyphens w:val="true"/>
        <w:bidi w:val="0"/>
        <w:spacing w:lineRule="auto" w:line="276"/>
        <w:ind w:left="794" w:right="0" w:hanging="360"/>
        <w:jc w:val="both"/>
        <w:textAlignment w:val="baseline"/>
        <w:rPr>
          <w:rFonts w:eastAsia="Tahoma" w:cs="Calibri Light"/>
          <w:sz w:val="23"/>
          <w:szCs w:val="23"/>
        </w:rPr>
      </w:pPr>
      <w:r>
        <w:rPr>
          <w:rFonts w:eastAsia="Tahoma" w:cs="Calibri Light"/>
          <w:sz w:val="23"/>
          <w:szCs w:val="23"/>
        </w:rPr>
        <w:t xml:space="preserve"> </w:t>
      </w:r>
      <w:r>
        <w:rPr>
          <w:rFonts w:eastAsia="Tahoma" w:cs="Calibri Light"/>
          <w:sz w:val="23"/>
          <w:szCs w:val="23"/>
        </w:rPr>
        <w:t>L’operatore economico si</w:t>
      </w:r>
      <w:r>
        <w:rPr>
          <w:rFonts w:eastAsia="Tahoma" w:cs="Calibri Light"/>
          <w:color w:val="000000"/>
          <w:sz w:val="23"/>
          <w:szCs w:val="23"/>
        </w:rPr>
        <w:t xml:space="preserve"> trova in regola con le norme che disciplinano il diritto al lavoro dei disabili di cui alla legge 12 marzo 1999 n. 68?</w:t>
      </w:r>
      <w:r>
        <w:rPr>
          <w:rFonts w:eastAsia="Tahoma" w:cs="Calibri Light"/>
          <w:sz w:val="23"/>
          <w:szCs w:val="23"/>
        </w:rPr>
        <w:t xml:space="preserve"> (Art. 80, comma 5, lettera i)?    </w:t>
      </w:r>
    </w:p>
    <w:p>
      <w:pPr>
        <w:pStyle w:val="Normal"/>
        <w:widowControl w:val="false"/>
        <w:tabs>
          <w:tab w:val="left" w:pos="-14476" w:leader="none"/>
          <w:tab w:val="left" w:pos="-13484" w:leader="none"/>
        </w:tabs>
        <w:suppressAutoHyphens w:val="true"/>
        <w:bidi w:val="0"/>
        <w:spacing w:lineRule="auto" w:line="276"/>
        <w:ind w:left="737" w:right="0" w:hanging="0"/>
        <w:jc w:val="both"/>
        <w:textAlignment w:val="baseline"/>
        <w:rPr>
          <w:rFonts w:eastAsia="Tahoma" w:cs="Calibri Light"/>
          <w:sz w:val="23"/>
          <w:szCs w:val="23"/>
        </w:rPr>
      </w:pPr>
      <w:bookmarkStart w:id="20" w:name="__DdeLink__43111_9132077312"/>
      <w:r>
        <w:rPr>
          <w:rFonts w:eastAsia="Tahoma" w:cs="Tahoma"/>
          <w:sz w:val="23"/>
          <w:szCs w:val="23"/>
        </w:rPr>
        <w:t xml:space="preserve">     </w:t>
      </w:r>
      <w:bookmarkEnd w:id="20"/>
      <w:r>
        <w:rPr>
          <w:rFonts w:eastAsia="Tahoma" w:cs="Tahoma"/>
          <w:color w:val="000000"/>
          <w:sz w:val="23"/>
          <w:szCs w:val="23"/>
        </w:rPr>
        <w:t>[   ]Sì     [   ]No</w:t>
      </w:r>
      <w:r>
        <w:rPr>
          <w:rFonts w:eastAsia="Tahoma" w:cs="Calibri Light"/>
          <w:sz w:val="23"/>
          <w:szCs w:val="23"/>
        </w:rPr>
        <w:t xml:space="preserve">      </w:t>
      </w:r>
      <w:bookmarkStart w:id="21" w:name="__DdeLink__43111_91320773121"/>
      <w:r>
        <w:rPr>
          <w:rFonts w:eastAsia="Tahoma" w:cs="Tahoma"/>
          <w:sz w:val="23"/>
          <w:szCs w:val="23"/>
        </w:rPr>
        <w:t xml:space="preserve">   </w:t>
      </w:r>
      <w:bookmarkEnd w:id="21"/>
      <w:r>
        <w:rPr>
          <w:rFonts w:eastAsia="Tahoma" w:cs="Tahoma"/>
          <w:color w:val="000000"/>
          <w:sz w:val="23"/>
          <w:szCs w:val="23"/>
        </w:rPr>
        <w:t>[   ]</w:t>
      </w:r>
      <w:r>
        <w:rPr>
          <w:rFonts w:eastAsia="Tahoma" w:cs="Calibri Light"/>
          <w:sz w:val="23"/>
          <w:szCs w:val="23"/>
        </w:rPr>
        <w:t xml:space="preserve"> Non soggetto alla disciplina di cui alla L. 68/99 </w:t>
      </w:r>
      <w:bookmarkStart w:id="22" w:name="_Hlk529259688"/>
      <w:bookmarkEnd w:id="22"/>
      <w:r>
        <w:rPr>
          <w:rFonts w:eastAsia="Tahoma" w:cs="Calibri Light"/>
          <w:sz w:val="23"/>
          <w:szCs w:val="23"/>
        </w:rPr>
        <w:t>in quanto _______________________________________________;</w:t>
      </w:r>
    </w:p>
    <w:p>
      <w:pPr>
        <w:pStyle w:val="Normal"/>
        <w:widowControl w:val="false"/>
        <w:tabs>
          <w:tab w:val="left" w:pos="-15780" w:leader="none"/>
          <w:tab w:val="left" w:pos="-14788" w:leader="none"/>
        </w:tabs>
        <w:spacing w:lineRule="auto" w:line="276"/>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pacing w:lineRule="auto" w:line="276"/>
        <w:jc w:val="both"/>
        <w:rPr>
          <w:rFonts w:eastAsia="Tahoma" w:cs="Tahoma"/>
          <w:color w:val="000000"/>
          <w:sz w:val="23"/>
          <w:szCs w:val="23"/>
        </w:rPr>
      </w:pPr>
      <w:r>
        <w:rPr>
          <w:rFonts w:eastAsia="Tahoma" w:cs="Calibri Light"/>
          <w:sz w:val="23"/>
          <w:szCs w:val="23"/>
        </w:rPr>
        <w:t xml:space="preserve"> </w:t>
      </w:r>
      <w:r>
        <w:rPr>
          <w:rFonts w:eastAsia="Tahoma" w:cs="Calibri Light"/>
          <w:sz w:val="23"/>
          <w:szCs w:val="23"/>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 w:val="23"/>
          <w:szCs w:val="23"/>
          <w:u w:val="none"/>
        </w:rPr>
        <w:t>articoli 317</w:t>
      </w:r>
      <w:r>
        <w:fldChar w:fldCharType="end"/>
      </w:r>
      <w:r>
        <w:rPr>
          <w:rFonts w:eastAsia="Tahoma" w:cs="Calibri Light"/>
          <w:sz w:val="23"/>
          <w:szCs w:val="23"/>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 w:val="23"/>
          <w:szCs w:val="23"/>
          <w:u w:val="none"/>
        </w:rPr>
        <w:t>629 del codice penale</w:t>
      </w:r>
      <w:r>
        <w:fldChar w:fldCharType="end"/>
      </w:r>
      <w:r>
        <w:rPr>
          <w:rFonts w:eastAsia="Tahoma" w:cs="Calibri Light"/>
          <w:sz w:val="23"/>
          <w:szCs w:val="23"/>
        </w:rPr>
        <w:t xml:space="preserve"> aggravati ai sensi dell'articolo 7 del decreto-legge 13 maggio 1991, n. 152, convertito, con modificazioni, dalla legge 12 luglio 1991, n. 203?  (Art. 80, comma 5, lettera l)?</w:t>
      </w:r>
      <w:bookmarkStart w:id="23" w:name="__DdeLink__43111_91320773111"/>
      <w:r>
        <w:rPr>
          <w:rFonts w:eastAsia="Tahoma" w:cs="Tahoma"/>
          <w:sz w:val="23"/>
          <w:szCs w:val="23"/>
        </w:rPr>
        <w:t xml:space="preserve">     </w:t>
      </w:r>
      <w:bookmarkEnd w:id="23"/>
      <w:r>
        <w:rPr>
          <w:rFonts w:eastAsia="Tahoma" w:cs="Tahoma"/>
          <w:color w:val="000000"/>
          <w:sz w:val="23"/>
          <w:szCs w:val="23"/>
        </w:rPr>
        <w:t>[   ]Sì     [   ]No</w:t>
      </w:r>
    </w:p>
    <w:p>
      <w:pPr>
        <w:pStyle w:val="Normal"/>
        <w:widowControl w:val="false"/>
        <w:tabs>
          <w:tab w:val="left" w:pos="-14476" w:leader="none"/>
          <w:tab w:val="left" w:pos="-13484" w:leader="none"/>
        </w:tabs>
        <w:spacing w:lineRule="auto" w:line="276"/>
        <w:ind w:left="1304" w:right="0" w:hanging="0"/>
        <w:jc w:val="both"/>
        <w:rPr>
          <w:sz w:val="23"/>
          <w:szCs w:val="23"/>
        </w:rPr>
      </w:pPr>
      <w:r>
        <w:rPr>
          <w:sz w:val="23"/>
          <w:szCs w:val="23"/>
        </w:rPr>
      </w:r>
    </w:p>
    <w:p>
      <w:pPr>
        <w:pStyle w:val="Normal"/>
        <w:widowControl w:val="false"/>
        <w:tabs>
          <w:tab w:val="left" w:pos="-14476" w:leader="none"/>
          <w:tab w:val="left" w:pos="-13484" w:leader="none"/>
        </w:tabs>
        <w:suppressAutoHyphens w:val="true"/>
        <w:bidi w:val="0"/>
        <w:spacing w:lineRule="auto" w:line="276"/>
        <w:ind w:left="624" w:right="0" w:hanging="0"/>
        <w:jc w:val="both"/>
        <w:textAlignment w:val="baseline"/>
        <w:rPr>
          <w:rFonts w:eastAsia="Tahoma" w:cs="Tahoma"/>
          <w:color w:val="000000"/>
          <w:sz w:val="23"/>
          <w:szCs w:val="23"/>
        </w:rPr>
      </w:pPr>
      <w:r>
        <w:rPr>
          <w:rFonts w:eastAsia="Tahoma" w:cs="Calibri Light"/>
          <w:sz w:val="23"/>
          <w:szCs w:val="23"/>
        </w:rPr>
        <w:t>In caso di risposta affermativa, ha denunciato i fatti all’autorità giudiziaria?</w:t>
      </w:r>
      <w:bookmarkStart w:id="24" w:name="__DdeLink__43111_91320773112"/>
      <w:r>
        <w:rPr>
          <w:rFonts w:eastAsia="Tahoma" w:cs="Tahoma"/>
          <w:sz w:val="23"/>
          <w:szCs w:val="23"/>
        </w:rPr>
        <w:t xml:space="preserve">   </w:t>
      </w:r>
      <w:bookmarkEnd w:id="24"/>
      <w:r>
        <w:rPr>
          <w:rFonts w:eastAsia="Tahoma" w:cs="Tahoma"/>
          <w:color w:val="000000"/>
          <w:sz w:val="23"/>
          <w:szCs w:val="23"/>
        </w:rPr>
        <w:t>[   ]Sì     [   ]No</w:t>
      </w:r>
    </w:p>
    <w:p>
      <w:pPr>
        <w:pStyle w:val="Normal"/>
        <w:widowControl w:val="false"/>
        <w:tabs>
          <w:tab w:val="left" w:pos="-14476" w:leader="none"/>
          <w:tab w:val="left" w:pos="-13484" w:leader="none"/>
        </w:tabs>
        <w:ind w:left="1304" w:right="0" w:hanging="0"/>
        <w:jc w:val="left"/>
        <w:rPr>
          <w:rFonts w:cs="Calibri Light"/>
          <w:sz w:val="23"/>
          <w:szCs w:val="23"/>
        </w:rPr>
      </w:pPr>
      <w:r>
        <w:rPr>
          <w:rFonts w:cs="Calibri Light"/>
          <w:sz w:val="23"/>
          <w:szCs w:val="23"/>
        </w:rPr>
      </w:r>
    </w:p>
    <w:p>
      <w:pPr>
        <w:pStyle w:val="Normal"/>
        <w:widowControl w:val="false"/>
        <w:tabs>
          <w:tab w:val="left" w:pos="-14476" w:leader="none"/>
          <w:tab w:val="left" w:pos="-13484" w:leader="none"/>
        </w:tabs>
        <w:ind w:left="1304" w:right="0" w:hanging="0"/>
        <w:jc w:val="left"/>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pacing w:lineRule="auto" w:line="276"/>
        <w:jc w:val="both"/>
        <w:rPr>
          <w:rFonts w:eastAsia="Tahoma" w:cs="Tahoma"/>
          <w:color w:val="000000"/>
          <w:sz w:val="23"/>
          <w:szCs w:val="23"/>
        </w:rPr>
      </w:pPr>
      <w:r>
        <w:rPr>
          <w:rFonts w:eastAsia="Tahoma" w:cs="Calibri Light"/>
          <w:sz w:val="23"/>
          <w:szCs w:val="23"/>
        </w:rPr>
        <w:t xml:space="preserve"> </w:t>
      </w:r>
      <w:r>
        <w:rPr>
          <w:rFonts w:eastAsia="Tahoma" w:cs="Calibri Light"/>
          <w:sz w:val="23"/>
          <w:szCs w:val="23"/>
        </w:rPr>
        <w:t>L’operatore economico si trova rispetto ad un altro partecipante alla medesima procedura di affidamento</w:t>
      </w:r>
      <w:r>
        <w:rPr>
          <w:rStyle w:val="CollegamentoInternet"/>
          <w:rFonts w:eastAsia="Tahoma" w:cs="Calibri Light"/>
          <w:color w:val="000000"/>
          <w:sz w:val="23"/>
          <w:szCs w:val="23"/>
          <w:u w:val="none"/>
        </w:rPr>
        <w:t>,</w:t>
      </w:r>
      <w:r>
        <w:rPr>
          <w:rFonts w:eastAsia="Tahoma" w:cs="Calibri Light"/>
          <w:sz w:val="23"/>
          <w:szCs w:val="23"/>
        </w:rPr>
        <w:t xml:space="preserve"> in una situazione di controllo di cui all’art. 2359 del codice civile o in una qualsiasi relazione, anche di fatto, se la situazione di controllo o la relazione comporti che le offerte sono imputabili ad un unico centro decisionale (Art. 80, comma 5, lettera m)?</w:t>
      </w:r>
      <w:bookmarkStart w:id="25" w:name="__DdeLink__43111_91320773113"/>
      <w:r>
        <w:rPr>
          <w:rFonts w:eastAsia="Tahoma" w:cs="Tahoma"/>
          <w:sz w:val="23"/>
          <w:szCs w:val="23"/>
        </w:rPr>
        <w:t xml:space="preserve">     </w:t>
      </w:r>
      <w:bookmarkEnd w:id="25"/>
      <w:r>
        <w:rPr>
          <w:rFonts w:eastAsia="Tahoma" w:cs="Tahoma"/>
          <w:color w:val="000000"/>
          <w:sz w:val="23"/>
          <w:szCs w:val="23"/>
        </w:rPr>
        <w:t>[   ]Sì     [   ]No</w:t>
      </w:r>
    </w:p>
    <w:p>
      <w:pPr>
        <w:pStyle w:val="Normal"/>
        <w:widowControl w:val="false"/>
        <w:tabs>
          <w:tab w:val="left" w:pos="-14476" w:leader="none"/>
          <w:tab w:val="left" w:pos="-13484" w:leader="none"/>
        </w:tabs>
        <w:spacing w:lineRule="auto" w:line="276"/>
        <w:ind w:left="1304" w:right="0" w:hanging="0"/>
        <w:jc w:val="both"/>
        <w:rPr>
          <w:rFonts w:eastAsia="Tahoma" w:cs="Tahoma"/>
          <w:b/>
          <w:sz w:val="23"/>
          <w:szCs w:val="23"/>
        </w:rPr>
      </w:pPr>
      <w:r>
        <w:rPr>
          <w:rFonts w:eastAsia="Tahoma" w:cs="Tahoma"/>
          <w:b/>
          <w:sz w:val="23"/>
          <w:szCs w:val="23"/>
        </w:rPr>
      </w:r>
    </w:p>
    <w:p>
      <w:pPr>
        <w:pStyle w:val="Normal"/>
        <w:widowControl w:val="false"/>
        <w:tabs>
          <w:tab w:val="left" w:pos="-14476" w:leader="none"/>
          <w:tab w:val="left" w:pos="-13484" w:leader="none"/>
        </w:tabs>
        <w:spacing w:lineRule="auto" w:line="276"/>
        <w:ind w:left="708" w:right="0" w:hanging="0"/>
        <w:jc w:val="both"/>
        <w:rPr>
          <w:rFonts w:eastAsia="Tahoma" w:cs="Tahoma"/>
          <w:b/>
          <w:sz w:val="23"/>
          <w:szCs w:val="23"/>
        </w:rPr>
      </w:pPr>
      <w:r>
        <w:rPr>
          <w:rFonts w:eastAsia="Tahoma" w:cs="Tahoma"/>
          <w:b/>
          <w:sz w:val="23"/>
          <w:szCs w:val="23"/>
        </w:rPr>
        <w:t>PARTE IV DEL DGUE – Criteri di selezione</w:t>
      </w:r>
    </w:p>
    <w:p>
      <w:pPr>
        <w:pStyle w:val="Normal"/>
        <w:widowControl w:val="false"/>
        <w:tabs>
          <w:tab w:val="left" w:pos="-31226" w:leader="none"/>
        </w:tabs>
        <w:ind w:left="454" w:right="0" w:hanging="0"/>
        <w:jc w:val="both"/>
        <w:rPr>
          <w:sz w:val="23"/>
          <w:szCs w:val="23"/>
        </w:rPr>
      </w:pPr>
      <w:r>
        <w:rPr>
          <w:sz w:val="23"/>
          <w:szCs w:val="23"/>
        </w:rPr>
      </w:r>
    </w:p>
    <w:p>
      <w:pPr>
        <w:pStyle w:val="Normal"/>
        <w:widowControl w:val="false"/>
        <w:tabs>
          <w:tab w:val="left" w:pos="-31226" w:leader="none"/>
        </w:tabs>
        <w:spacing w:lineRule="auto" w:line="276"/>
        <w:ind w:left="454" w:right="0" w:hanging="0"/>
        <w:jc w:val="both"/>
        <w:rPr>
          <w:rFonts w:eastAsia="Tahoma" w:cs="Calibri Light"/>
          <w:b/>
          <w:sz w:val="23"/>
          <w:szCs w:val="23"/>
        </w:rPr>
      </w:pPr>
      <w:r>
        <w:rPr>
          <w:rFonts w:eastAsia="Tahoma" w:cs="Calibri Light"/>
          <w:b/>
          <w:sz w:val="23"/>
          <w:szCs w:val="23"/>
        </w:rPr>
        <w:t>In qualità di ausiliaria si impegna a mettere a disposizione del concorrente i seguenti requisiti di cui è carente:</w:t>
      </w:r>
    </w:p>
    <w:p>
      <w:pPr>
        <w:pStyle w:val="Normale"/>
        <w:widowControl/>
        <w:tabs>
          <w:tab w:val="left" w:pos="-14760" w:leader="none"/>
          <w:tab w:val="left" w:pos="-13768" w:leader="none"/>
        </w:tabs>
        <w:suppressAutoHyphens w:val="false"/>
        <w:spacing w:lineRule="atLeast" w:line="340"/>
        <w:ind w:left="1020" w:right="0" w:hanging="0"/>
        <w:jc w:val="left"/>
        <w:textAlignment w:val="auto"/>
        <w:rPr>
          <w:rFonts w:eastAsia="Tahoma"/>
          <w:sz w:val="23"/>
          <w:szCs w:val="23"/>
        </w:rPr>
      </w:pPr>
      <w:r>
        <w:rPr>
          <w:rFonts w:eastAsia="Tahoma"/>
          <w:sz w:val="23"/>
          <w:szCs w:val="23"/>
        </w:rPr>
      </w:r>
    </w:p>
    <w:p>
      <w:pPr>
        <w:pStyle w:val="Normale"/>
        <w:widowControl/>
        <w:tabs>
          <w:tab w:val="left" w:pos="-14760" w:leader="none"/>
          <w:tab w:val="left" w:pos="-13768" w:leader="none"/>
        </w:tabs>
        <w:suppressAutoHyphens w:val="false"/>
        <w:spacing w:lineRule="atLeast" w:line="340"/>
        <w:ind w:left="0" w:right="0" w:hanging="0"/>
        <w:jc w:val="both"/>
        <w:textAlignment w:val="auto"/>
        <w:rPr>
          <w:rFonts w:eastAsia="Tahoma"/>
          <w:sz w:val="23"/>
          <w:szCs w:val="23"/>
        </w:rPr>
      </w:pPr>
      <w:r>
        <w:rPr>
          <w:rFonts w:eastAsia="Tahoma"/>
          <w:sz w:val="23"/>
          <w:szCs w:val="23"/>
        </w:rPr>
      </w:r>
    </w:p>
    <w:p>
      <w:pPr>
        <w:pStyle w:val="Normale"/>
        <w:widowControl/>
        <w:tabs>
          <w:tab w:val="left" w:pos="-14760" w:leader="none"/>
          <w:tab w:val="left" w:pos="-13768" w:leader="none"/>
        </w:tabs>
        <w:suppressAutoHyphens w:val="false"/>
        <w:spacing w:lineRule="atLeast" w:line="340"/>
        <w:ind w:left="0" w:right="0" w:hanging="0"/>
        <w:jc w:val="both"/>
        <w:textAlignment w:val="auto"/>
        <w:rPr>
          <w:b/>
          <w:i w:val="false"/>
          <w:iCs w:val="false"/>
          <w:color w:val="000000"/>
          <w:sz w:val="23"/>
          <w:szCs w:val="23"/>
          <w:u w:val="none"/>
        </w:rPr>
      </w:pPr>
      <w:r>
        <w:rPr>
          <w:rFonts w:eastAsia="Tahoma"/>
          <w:sz w:val="23"/>
          <w:szCs w:val="23"/>
        </w:rPr>
        <w:t xml:space="preserve">- </w:t>
      </w:r>
      <w:r>
        <w:rPr>
          <w:b/>
          <w:i w:val="false"/>
          <w:iCs w:val="false"/>
          <w:color w:val="000000"/>
          <w:sz w:val="23"/>
          <w:szCs w:val="23"/>
          <w:u w:val="none"/>
        </w:rPr>
        <w:t xml:space="preserve"> Requisiti di capacità economica finanziaria (Riferimento 8.2 lett. b del Disciplinare di gara)</w:t>
      </w:r>
    </w:p>
    <w:p>
      <w:pPr>
        <w:pStyle w:val="Normal"/>
        <w:widowControl/>
        <w:tabs>
          <w:tab w:val="left" w:pos="-14760" w:leader="none"/>
          <w:tab w:val="left" w:pos="-13768" w:leader="none"/>
        </w:tabs>
        <w:suppressAutoHyphens w:val="false"/>
        <w:bidi w:val="0"/>
        <w:spacing w:lineRule="atLeast" w:line="340" w:before="171" w:after="171"/>
        <w:ind w:left="567" w:right="0" w:hanging="0"/>
        <w:jc w:val="both"/>
        <w:textAlignment w:val="auto"/>
        <w:rPr>
          <w:rFonts w:eastAsia="Tahoma"/>
          <w:b w:val="false"/>
          <w:bCs w:val="false"/>
          <w:color w:val="000000"/>
          <w:sz w:val="23"/>
          <w:szCs w:val="23"/>
        </w:rPr>
      </w:pPr>
      <w:r>
        <w:rPr>
          <w:rFonts w:eastAsia="Tahoma"/>
          <w:color w:val="000000"/>
          <w:sz w:val="23"/>
          <w:szCs w:val="23"/>
        </w:rPr>
        <w:t xml:space="preserve">a) </w:t>
      </w:r>
      <w:r>
        <w:rPr>
          <w:rFonts w:eastAsia="Tahoma"/>
          <w:b w:val="false"/>
          <w:bCs w:val="false"/>
          <w:color w:val="000000"/>
          <w:sz w:val="23"/>
          <w:szCs w:val="23"/>
        </w:rPr>
        <w:t xml:space="preserve">di aver realizzato, negli ultimi tre esercizi finanziari disponibili </w:t>
      </w:r>
      <w:r>
        <w:rPr>
          <w:rFonts w:eastAsia="Tahoma"/>
          <w:b w:val="false"/>
          <w:bCs w:val="false"/>
          <w:color w:val="000000"/>
          <w:sz w:val="23"/>
          <w:szCs w:val="23"/>
        </w:rPr>
        <w:t>(bilanci approvati alla data di scadenza del termine per la presentazione delle offerte corredati della nota integrativa e depositati)</w:t>
      </w:r>
      <w:r>
        <w:rPr>
          <w:rFonts w:eastAsia="Tahoma"/>
          <w:b w:val="false"/>
          <w:bCs w:val="false"/>
          <w:color w:val="000000"/>
          <w:sz w:val="23"/>
          <w:szCs w:val="23"/>
        </w:rPr>
        <w:t xml:space="preserve">, un </w:t>
      </w:r>
      <w:r>
        <w:rPr>
          <w:rFonts w:eastAsia="Tahoma"/>
          <w:b/>
          <w:bCs/>
          <w:color w:val="000000"/>
          <w:sz w:val="23"/>
          <w:szCs w:val="23"/>
        </w:rPr>
        <w:t>fatturato globale non inferiore</w:t>
      </w:r>
      <w:r>
        <w:rPr>
          <w:rFonts w:eastAsia="Tahoma"/>
          <w:b w:val="false"/>
          <w:bCs w:val="false"/>
          <w:color w:val="000000"/>
          <w:sz w:val="23"/>
          <w:szCs w:val="23"/>
        </w:rPr>
        <w:t xml:space="preserve"> iva esclusa, </w:t>
      </w:r>
      <w:r>
        <w:rPr>
          <w:rStyle w:val="Carpredefinitoparagrafo"/>
          <w:rFonts w:eastAsia="Tahoma"/>
          <w:b w:val="false"/>
          <w:bCs w:val="false"/>
          <w:color w:val="000000"/>
          <w:sz w:val="23"/>
          <w:szCs w:val="23"/>
          <w:highlight w:val="white"/>
        </w:rPr>
        <w:t xml:space="preserve">almeno pari a quanto indicato per ciascun Lotto di partecipazione, </w:t>
      </w:r>
      <w:r>
        <w:rPr>
          <w:rStyle w:val="Carpredefinitoparagrafo"/>
          <w:rFonts w:eastAsia="Tahoma" w:cs="Times New Roman"/>
          <w:b w:val="false"/>
          <w:bCs w:val="false"/>
          <w:color w:val="00000A"/>
          <w:sz w:val="23"/>
          <w:szCs w:val="23"/>
          <w:highlight w:val="white"/>
        </w:rPr>
        <w:t xml:space="preserve"> (contrassegnare il Lotto di interesse) :</w:t>
      </w:r>
      <w:r>
        <w:rPr>
          <w:rStyle w:val="Carpredefinitoparagrafo"/>
          <w:rFonts w:eastAsia="Tahoma"/>
          <w:b w:val="false"/>
          <w:bCs w:val="false"/>
          <w:color w:val="000000"/>
          <w:sz w:val="23"/>
          <w:szCs w:val="23"/>
          <w:highlight w:val="white"/>
        </w:rPr>
        <w:t xml:space="preserve">come segue </w:t>
      </w:r>
      <w:r>
        <w:rPr>
          <w:rFonts w:eastAsia="Tahoma"/>
          <w:b w:val="false"/>
          <w:bCs w:val="false"/>
          <w:color w:val="000000"/>
          <w:sz w:val="23"/>
          <w:szCs w:val="23"/>
        </w:rPr>
        <w:t>:</w:t>
      </w:r>
    </w:p>
    <w:p>
      <w:pPr>
        <w:pStyle w:val="Corpodeltesto"/>
        <w:numPr>
          <w:ilvl w:val="0"/>
          <w:numId w:val="6"/>
        </w:numPr>
        <w:jc w:val="both"/>
        <w:rPr>
          <w:rStyle w:val="Carpredefinitoparagrafo"/>
          <w:b w:val="false"/>
          <w:bCs w:val="false"/>
          <w:sz w:val="23"/>
          <w:szCs w:val="23"/>
          <w:u w:val="none"/>
          <w:shd w:fill="FFFFFF" w:val="clear"/>
        </w:rPr>
      </w:pPr>
      <w:r>
        <w:rPr>
          <w:rStyle w:val="Carpredefinitoparagrafo"/>
          <w:b w:val="false"/>
          <w:bCs w:val="false"/>
          <w:sz w:val="23"/>
          <w:szCs w:val="23"/>
          <w:u w:val="none"/>
          <w:shd w:fill="FFFFFF" w:val="clear"/>
        </w:rPr>
        <w:t xml:space="preserve"> </w:t>
      </w:r>
      <w:r>
        <w:rPr>
          <w:rStyle w:val="Carpredefinitoparagrafo"/>
          <w:b w:val="false"/>
          <w:bCs w:val="false"/>
          <w:sz w:val="23"/>
          <w:szCs w:val="23"/>
          <w:u w:val="none"/>
          <w:shd w:fill="FFFFFF" w:val="clear"/>
        </w:rPr>
        <w:t>per la partecipazione al Lotto1 – Comune di Casalgrande</w:t>
      </w:r>
      <w:r>
        <w:rPr>
          <w:rStyle w:val="Carpredefinitoparagrafo"/>
          <w:b/>
          <w:bCs/>
          <w:sz w:val="23"/>
          <w:szCs w:val="23"/>
          <w:u w:val="none"/>
          <w:shd w:fill="FFFFFF" w:val="clear"/>
        </w:rPr>
        <w:t xml:space="preserve"> </w:t>
      </w:r>
      <w:r>
        <w:rPr>
          <w:rStyle w:val="Carpredefinitoparagrafo"/>
          <w:b w:val="false"/>
          <w:bCs w:val="false"/>
          <w:sz w:val="23"/>
          <w:szCs w:val="23"/>
          <w:u w:val="none"/>
          <w:shd w:fill="FFFFFF" w:val="clear"/>
        </w:rPr>
        <w:t>Euro 544.200,00  (Euro Cinquecentoquarantaquattromiladuecento/00) iva esclusa</w:t>
      </w:r>
    </w:p>
    <w:p>
      <w:pPr>
        <w:pStyle w:val="Corpodeltesto"/>
        <w:widowControl w:val="false"/>
        <w:numPr>
          <w:ilvl w:val="0"/>
          <w:numId w:val="6"/>
        </w:numPr>
        <w:tabs>
          <w:tab w:val="left" w:pos="-14930" w:leader="none"/>
          <w:tab w:val="left" w:pos="-13938" w:leader="none"/>
          <w:tab w:val="left" w:pos="960" w:leader="none"/>
          <w:tab w:val="left" w:pos="2490" w:leader="none"/>
        </w:tabs>
        <w:spacing w:lineRule="atLeast" w:line="340"/>
        <w:jc w:val="both"/>
        <w:rPr>
          <w:rStyle w:val="Carpredefinitoparagrafo"/>
          <w:b w:val="false"/>
          <w:bCs w:val="false"/>
          <w:color w:val="000000"/>
          <w:sz w:val="23"/>
          <w:szCs w:val="23"/>
          <w:u w:val="none"/>
          <w:shd w:fill="FFFFFF" w:val="clear"/>
        </w:rPr>
      </w:pPr>
      <w:r>
        <w:rPr>
          <w:rStyle w:val="Carpredefinitoparagrafo"/>
          <w:b w:val="false"/>
          <w:bCs w:val="false"/>
          <w:color w:val="000000"/>
          <w:sz w:val="23"/>
          <w:szCs w:val="23"/>
          <w:u w:val="none"/>
          <w:shd w:fill="FFFFFF" w:val="clear"/>
        </w:rPr>
        <w:t xml:space="preserve"> </w:t>
      </w:r>
      <w:r>
        <w:rPr>
          <w:rStyle w:val="Carpredefinitoparagrafo"/>
          <w:b w:val="false"/>
          <w:bCs w:val="false"/>
          <w:color w:val="000000"/>
          <w:sz w:val="23"/>
          <w:szCs w:val="23"/>
          <w:u w:val="none"/>
          <w:shd w:fill="FFFFFF" w:val="clear"/>
        </w:rPr>
        <w:t xml:space="preserve">per la partecipazione al Lotto 2 – Comune  di Castellarano Euro 479.400,000  (Euro </w:t>
      </w:r>
      <w:bookmarkStart w:id="26" w:name="__DdeLink__14061_2472803043"/>
      <w:r>
        <w:rPr>
          <w:rStyle w:val="Carpredefinitoparagrafo"/>
          <w:b w:val="false"/>
          <w:bCs w:val="false"/>
          <w:color w:val="000000"/>
          <w:sz w:val="23"/>
          <w:szCs w:val="23"/>
          <w:u w:val="none"/>
          <w:shd w:fill="FFFFFF" w:val="clear"/>
        </w:rPr>
        <w:t>Quattrocentosettantanovemilaquattrocento/</w:t>
      </w:r>
      <w:bookmarkEnd w:id="26"/>
      <w:r>
        <w:rPr>
          <w:rStyle w:val="Carpredefinitoparagrafo"/>
          <w:b w:val="false"/>
          <w:bCs w:val="false"/>
          <w:color w:val="000000"/>
          <w:sz w:val="23"/>
          <w:szCs w:val="23"/>
          <w:u w:val="none"/>
          <w:shd w:fill="FFFFFF" w:val="clear"/>
        </w:rPr>
        <w:t>00) iva esclusa;</w:t>
      </w:r>
    </w:p>
    <w:p>
      <w:pPr>
        <w:pStyle w:val="Corpodeltesto"/>
        <w:widowControl w:val="false"/>
        <w:numPr>
          <w:ilvl w:val="0"/>
          <w:numId w:val="6"/>
        </w:numPr>
        <w:tabs>
          <w:tab w:val="left" w:pos="-14930" w:leader="none"/>
          <w:tab w:val="left" w:pos="-13938" w:leader="none"/>
          <w:tab w:val="left" w:pos="960" w:leader="none"/>
          <w:tab w:val="left" w:pos="2490" w:leader="none"/>
        </w:tabs>
        <w:spacing w:lineRule="atLeast" w:line="340"/>
        <w:jc w:val="both"/>
        <w:rPr>
          <w:rStyle w:val="Carpredefinitoparagrafo"/>
          <w:b w:val="false"/>
          <w:bCs w:val="false"/>
          <w:color w:val="000000"/>
          <w:sz w:val="23"/>
          <w:szCs w:val="23"/>
          <w:u w:val="none"/>
          <w:shd w:fill="FFFFFF" w:val="clear"/>
        </w:rPr>
      </w:pPr>
      <w:r>
        <w:rPr>
          <w:rStyle w:val="Carpredefinitoparagrafo"/>
          <w:b w:val="false"/>
          <w:bCs w:val="false"/>
          <w:color w:val="000000"/>
          <w:sz w:val="23"/>
          <w:szCs w:val="23"/>
          <w:u w:val="none"/>
          <w:shd w:fill="FFFFFF" w:val="clear"/>
        </w:rPr>
        <w:t xml:space="preserve"> </w:t>
      </w:r>
      <w:r>
        <w:rPr>
          <w:rStyle w:val="Carpredefinitoparagrafo"/>
          <w:b w:val="false"/>
          <w:bCs w:val="false"/>
          <w:color w:val="000000"/>
          <w:sz w:val="23"/>
          <w:szCs w:val="23"/>
          <w:u w:val="none"/>
          <w:shd w:fill="FFFFFF" w:val="clear"/>
        </w:rPr>
        <w:t>per la partecipazione al Lotto 3 – Comune di Scandiano Euro 771.000,000 (Euro Settecentosettantunomila/00) iva esclusa.</w:t>
      </w:r>
    </w:p>
    <w:p>
      <w:pPr>
        <w:pStyle w:val="Normal"/>
        <w:spacing w:lineRule="atLeast" w:line="340"/>
        <w:ind w:left="720" w:right="0" w:hanging="0"/>
        <w:jc w:val="both"/>
        <w:rPr>
          <w:rStyle w:val="Carpredefinitoparagrafo"/>
          <w:rFonts w:cs="Calibri Light"/>
          <w:b/>
          <w:bCs/>
          <w:sz w:val="23"/>
          <w:szCs w:val="23"/>
          <w:u w:val="single"/>
          <w:shd w:fill="FFFFFF" w:val="clear"/>
        </w:rPr>
      </w:pPr>
      <w:r>
        <w:rPr>
          <w:rStyle w:val="Carpredefinitoparagrafo"/>
          <w:rFonts w:cs="Calibri Light"/>
          <w:b w:val="false"/>
          <w:bCs w:val="false"/>
          <w:sz w:val="23"/>
          <w:szCs w:val="23"/>
          <w:u w:val="none"/>
          <w:shd w:fill="FFFFFF" w:val="clear"/>
        </w:rPr>
        <w:t>(</w:t>
      </w:r>
      <w:r>
        <w:rPr>
          <w:rStyle w:val="Carpredefinitoparagrafo"/>
          <w:rFonts w:cs="Calibri Light"/>
          <w:b/>
          <w:bCs/>
          <w:sz w:val="23"/>
          <w:szCs w:val="23"/>
          <w:u w:val="single"/>
          <w:shd w:fill="FFFFFF" w:val="clear"/>
        </w:rPr>
        <w:t>In caso di partecipazione a più Lotti  il requisito dovrà essere dimostrato nella misura pari alla somma dei valori richiesti  per i singoli Lotti cui si intende partecipare)</w:t>
      </w:r>
    </w:p>
    <w:p>
      <w:pPr>
        <w:pStyle w:val="Normal"/>
        <w:widowControl w:val="false"/>
        <w:tabs>
          <w:tab w:val="left" w:pos="-15780" w:leader="none"/>
          <w:tab w:val="left" w:pos="-14788" w:leader="none"/>
        </w:tabs>
        <w:spacing w:lineRule="auto" w:line="360"/>
        <w:ind w:left="1134" w:right="0" w:hanging="0"/>
        <w:jc w:val="left"/>
        <w:rPr/>
      </w:pPr>
      <w:r>
        <w:rPr/>
      </w:r>
    </w:p>
    <w:p>
      <w:pPr>
        <w:pStyle w:val="Normal"/>
        <w:widowControl w:val="false"/>
        <w:tabs>
          <w:tab w:val="left" w:pos="-15780" w:leader="none"/>
          <w:tab w:val="left" w:pos="-14788" w:leader="none"/>
        </w:tabs>
        <w:spacing w:lineRule="auto" w:line="360"/>
        <w:ind w:left="1134" w:right="0" w:hanging="0"/>
        <w:jc w:val="left"/>
        <w:rPr>
          <w:rFonts w:eastAsia="Tahoma" w:cs="Tahoma"/>
          <w:b/>
          <w:bCs/>
          <w:color w:val="000000"/>
          <w:sz w:val="23"/>
          <w:szCs w:val="23"/>
        </w:rPr>
      </w:pPr>
      <w:bookmarkStart w:id="27" w:name="__DdeLink__11616_192058556611"/>
      <w:r>
        <w:rPr>
          <w:rFonts w:eastAsia="Tahoma" w:cs="Tahoma"/>
          <w:b/>
          <w:bCs/>
          <w:sz w:val="23"/>
          <w:szCs w:val="23"/>
        </w:rPr>
        <w:t>indicare</w:t>
      </w:r>
      <w:bookmarkEnd w:id="27"/>
      <w:r>
        <w:rPr>
          <w:rFonts w:eastAsia="Tahoma" w:cs="Tahoma"/>
          <w:b/>
          <w:bCs/>
          <w:sz w:val="23"/>
          <w:szCs w:val="23"/>
        </w:rPr>
        <w:t xml:space="preserve"> </w:t>
      </w:r>
      <w:r>
        <w:rPr>
          <w:rFonts w:eastAsia="Tahoma" w:cs="Tahoma"/>
          <w:b/>
          <w:bCs/>
          <w:color w:val="000000"/>
          <w:sz w:val="23"/>
          <w:szCs w:val="23"/>
        </w:rPr>
        <w:t>il fatturato globale e l’anno di riferimento:</w:t>
      </w:r>
    </w:p>
    <w:p>
      <w:pPr>
        <w:pStyle w:val="Normal"/>
        <w:widowControl w:val="false"/>
        <w:tabs>
          <w:tab w:val="left" w:pos="-15780" w:leader="none"/>
          <w:tab w:val="left" w:pos="-14788" w:leader="none"/>
        </w:tabs>
        <w:spacing w:lineRule="auto" w:line="360"/>
        <w:ind w:left="1134" w:right="0" w:hanging="0"/>
        <w:jc w:val="left"/>
        <w:rPr/>
      </w:pPr>
      <w:r>
        <w:rPr/>
      </w:r>
    </w:p>
    <w:p>
      <w:pPr>
        <w:pStyle w:val="Normal"/>
        <w:widowControl w:val="false"/>
        <w:tabs>
          <w:tab w:val="left" w:pos="-15780" w:leader="none"/>
          <w:tab w:val="left" w:pos="-14788" w:leader="none"/>
        </w:tabs>
        <w:spacing w:lineRule="auto" w:line="360"/>
        <w:ind w:left="1134" w:right="0" w:hanging="0"/>
        <w:jc w:val="left"/>
        <w:rPr>
          <w:rFonts w:eastAsia="Tahoma" w:cs="Tahoma"/>
          <w:b w:val="false"/>
          <w:bCs w:val="false"/>
          <w:color w:val="000000"/>
          <w:sz w:val="23"/>
          <w:szCs w:val="23"/>
        </w:rPr>
      </w:pPr>
      <w:r>
        <w:rPr>
          <w:rFonts w:eastAsia="Tahoma" w:cs="Tahoma"/>
          <w:b w:val="false"/>
          <w:bCs w:val="false"/>
          <w:color w:val="000000"/>
          <w:sz w:val="23"/>
          <w:szCs w:val="23"/>
        </w:rPr>
        <w:t>__________________________________________________________________________</w:t>
      </w:r>
    </w:p>
    <w:p>
      <w:pPr>
        <w:pStyle w:val="Normal"/>
        <w:widowControl w:val="false"/>
        <w:tabs>
          <w:tab w:val="left" w:pos="-14193" w:leader="none"/>
          <w:tab w:val="left" w:pos="-13201" w:leader="none"/>
        </w:tabs>
        <w:suppressAutoHyphens w:val="false"/>
        <w:bidi w:val="0"/>
        <w:spacing w:lineRule="atLeast" w:line="340" w:before="170" w:after="170"/>
        <w:ind w:left="1134" w:right="0" w:hanging="0"/>
        <w:jc w:val="both"/>
        <w:textAlignment w:val="auto"/>
        <w:rPr>
          <w:rFonts w:eastAsia="Tahoma" w:cs="Tahoma"/>
          <w:b w:val="false"/>
          <w:bCs w:val="false"/>
          <w:color w:val="000000"/>
          <w:sz w:val="23"/>
          <w:szCs w:val="23"/>
        </w:rPr>
      </w:pPr>
      <w:r>
        <w:rPr>
          <w:rFonts w:eastAsia="Tahoma" w:cs="Tahoma"/>
          <w:b w:val="false"/>
          <w:bCs w:val="false"/>
          <w:color w:val="000000"/>
          <w:sz w:val="23"/>
          <w:szCs w:val="23"/>
        </w:rPr>
        <w:t>__________________________________________________________________________</w:t>
      </w:r>
    </w:p>
    <w:p>
      <w:pPr>
        <w:pStyle w:val="Normal"/>
        <w:widowControl w:val="false"/>
        <w:tabs>
          <w:tab w:val="left" w:pos="-14193" w:leader="none"/>
          <w:tab w:val="left" w:pos="-13201" w:leader="none"/>
        </w:tabs>
        <w:suppressAutoHyphens w:val="false"/>
        <w:bidi w:val="0"/>
        <w:spacing w:lineRule="atLeast" w:line="340" w:before="170" w:after="170"/>
        <w:ind w:left="1134" w:right="0" w:hanging="0"/>
        <w:jc w:val="both"/>
        <w:textAlignment w:val="auto"/>
        <w:rPr>
          <w:rFonts w:eastAsia="Tahoma" w:cs="Tahoma"/>
          <w:b w:val="false"/>
          <w:bCs w:val="false"/>
          <w:color w:val="000000"/>
          <w:sz w:val="23"/>
          <w:szCs w:val="23"/>
        </w:rPr>
      </w:pPr>
      <w:r>
        <w:rPr>
          <w:rFonts w:eastAsia="Tahoma" w:cs="Tahoma"/>
          <w:b w:val="false"/>
          <w:bCs w:val="false"/>
          <w:color w:val="000000"/>
          <w:sz w:val="23"/>
          <w:szCs w:val="23"/>
        </w:rPr>
        <w:t>__________________________________________________________________________</w:t>
      </w:r>
    </w:p>
    <w:p>
      <w:pPr>
        <w:pStyle w:val="Normal"/>
        <w:widowControl w:val="false"/>
        <w:tabs>
          <w:tab w:val="left" w:pos="-14193" w:leader="none"/>
          <w:tab w:val="left" w:pos="-13201" w:leader="none"/>
        </w:tabs>
        <w:suppressAutoHyphens w:val="false"/>
        <w:bidi w:val="0"/>
        <w:spacing w:lineRule="atLeast" w:line="340" w:before="170" w:after="170"/>
        <w:ind w:left="1134" w:right="0" w:hanging="0"/>
        <w:jc w:val="both"/>
        <w:textAlignment w:val="auto"/>
        <w:rPr>
          <w:rFonts w:eastAsia="Tahoma" w:cs="Tahoma"/>
          <w:b w:val="false"/>
          <w:bCs w:val="false"/>
          <w:color w:val="000000"/>
          <w:sz w:val="23"/>
          <w:szCs w:val="23"/>
        </w:rPr>
      </w:pPr>
      <w:r>
        <w:rPr>
          <w:rFonts w:eastAsia="Tahoma" w:cs="Tahoma"/>
          <w:b w:val="false"/>
          <w:bCs w:val="false"/>
          <w:color w:val="000000"/>
          <w:sz w:val="23"/>
          <w:szCs w:val="23"/>
        </w:rPr>
        <w:t>__________________________________________________________________________</w:t>
      </w:r>
    </w:p>
    <w:p>
      <w:pPr>
        <w:pStyle w:val="Normal"/>
        <w:widowControl w:val="false"/>
        <w:tabs>
          <w:tab w:val="left" w:pos="-14193" w:leader="none"/>
          <w:tab w:val="left" w:pos="-13201" w:leader="none"/>
        </w:tabs>
        <w:suppressAutoHyphens w:val="false"/>
        <w:bidi w:val="0"/>
        <w:spacing w:lineRule="atLeast" w:line="340" w:before="170" w:after="170"/>
        <w:ind w:left="1134" w:right="0" w:hanging="0"/>
        <w:jc w:val="both"/>
        <w:textAlignment w:val="auto"/>
        <w:rPr>
          <w:rFonts w:eastAsia="Tahoma" w:cs="Tahoma"/>
          <w:b w:val="false"/>
          <w:bCs w:val="false"/>
          <w:color w:val="000000"/>
          <w:sz w:val="23"/>
          <w:szCs w:val="23"/>
        </w:rPr>
      </w:pPr>
      <w:r>
        <w:rPr>
          <w:rFonts w:eastAsia="Tahoma" w:cs="Tahoma"/>
          <w:b w:val="false"/>
          <w:bCs w:val="false"/>
          <w:color w:val="000000"/>
          <w:sz w:val="23"/>
          <w:szCs w:val="23"/>
        </w:rPr>
        <w:t>__________________________________________________________________________</w:t>
      </w:r>
    </w:p>
    <w:p>
      <w:pPr>
        <w:pStyle w:val="Normal"/>
        <w:spacing w:lineRule="atLeast" w:line="340"/>
        <w:jc w:val="both"/>
        <w:rPr>
          <w:b/>
          <w:sz w:val="23"/>
          <w:szCs w:val="23"/>
        </w:rPr>
      </w:pPr>
      <w:r>
        <w:rPr>
          <w:rStyle w:val="Carpredefinitoparagrafo"/>
          <w:rFonts w:eastAsia="Times New Roman" w:cs="Times New Roman"/>
          <w:b/>
          <w:bCs w:val="false"/>
          <w:i w:val="false"/>
          <w:iCs w:val="false"/>
          <w:color w:val="000000"/>
          <w:sz w:val="23"/>
          <w:szCs w:val="23"/>
          <w:lang w:eastAsia="it-IT" w:bidi="ar-SA"/>
        </w:rPr>
        <w:t xml:space="preserve">- Requisiti di capacità tecnico-professionale </w:t>
      </w:r>
      <w:r>
        <w:rPr>
          <w:rStyle w:val="Carpredefinitoparagrafo"/>
          <w:rFonts w:eastAsia="Times New Roman" w:cs="Times New Roman"/>
          <w:b/>
          <w:bCs w:val="false"/>
          <w:i w:val="false"/>
          <w:iCs w:val="false"/>
          <w:color w:val="000000"/>
          <w:sz w:val="23"/>
          <w:szCs w:val="23"/>
          <w:u w:val="none"/>
          <w:lang w:eastAsia="it-IT" w:bidi="ar-SA"/>
        </w:rPr>
        <w:t>(Riferimento 8.2 lett c del Disciplinare di gara)</w:t>
      </w:r>
      <w:r>
        <w:rPr>
          <w:b/>
          <w:sz w:val="23"/>
          <w:szCs w:val="23"/>
        </w:rPr>
        <w:t>:</w:t>
      </w:r>
    </w:p>
    <w:p>
      <w:pPr>
        <w:pStyle w:val="Normal"/>
        <w:spacing w:lineRule="atLeast" w:line="340"/>
        <w:jc w:val="left"/>
        <w:rPr>
          <w:b/>
          <w:sz w:val="23"/>
          <w:szCs w:val="23"/>
        </w:rPr>
      </w:pPr>
      <w:r>
        <w:rPr>
          <w:b/>
          <w:sz w:val="23"/>
          <w:szCs w:val="23"/>
        </w:rPr>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0" w:right="0" w:hanging="0"/>
        <w:jc w:val="both"/>
        <w:textAlignment w:val="baseline"/>
        <w:rPr>
          <w:rStyle w:val="Carpredefinitoparagrafo"/>
          <w:sz w:val="23"/>
          <w:szCs w:val="23"/>
          <w:highlight w:val="white"/>
        </w:rPr>
      </w:pPr>
      <w:r>
        <w:rPr>
          <w:rStyle w:val="Carpredefinitoparagrafo"/>
          <w:sz w:val="23"/>
          <w:szCs w:val="23"/>
          <w:shd w:fill="FFFFFF" w:val="clear"/>
        </w:rPr>
        <w:t>- A</w:t>
      </w:r>
      <w:bookmarkStart w:id="28" w:name="__DdeLink__87426_442667532"/>
      <w:r>
        <w:rPr>
          <w:rStyle w:val="Carpredefinitoparagrafo"/>
          <w:sz w:val="23"/>
          <w:szCs w:val="23"/>
          <w:shd w:fill="FFFFFF" w:val="clear"/>
        </w:rPr>
        <w:t>ver eseguito con buon esito contratti nell’ultimo triennio (2018/2017/2016)</w:t>
      </w:r>
      <w:r>
        <w:rPr>
          <w:rStyle w:val="Carpredefinitoparagrafo"/>
          <w:sz w:val="23"/>
          <w:szCs w:val="23"/>
          <w:highlight w:val="white"/>
        </w:rPr>
        <w:t xml:space="preserve"> relativi a servizi nel settore oggetto del presente appalto (servizio educativo 0-6 anni) a favore di Enti Pubblici o soggetti privati per gli importi iva esclusa almeno pari a quanto indicato per ciascun Lotto di partecipazione (contrassegnare il Lotto di interesse), come segue:</w:t>
      </w:r>
    </w:p>
    <w:p>
      <w:pPr>
        <w:pStyle w:val="Normal"/>
        <w:spacing w:lineRule="atLeast" w:line="340"/>
        <w:jc w:val="left"/>
        <w:rPr>
          <w:sz w:val="23"/>
          <w:szCs w:val="23"/>
        </w:rPr>
      </w:pPr>
      <w:r>
        <w:rPr>
          <w:sz w:val="23"/>
          <w:szCs w:val="23"/>
        </w:rPr>
      </w:r>
    </w:p>
    <w:p>
      <w:pPr>
        <w:pStyle w:val="Corpodeltesto"/>
        <w:numPr>
          <w:ilvl w:val="0"/>
          <w:numId w:val="6"/>
        </w:numPr>
        <w:jc w:val="both"/>
        <w:rPr>
          <w:rStyle w:val="Carpredefinitoparagrafo"/>
          <w:b w:val="false"/>
          <w:bCs w:val="false"/>
          <w:sz w:val="23"/>
          <w:szCs w:val="23"/>
          <w:u w:val="none"/>
          <w:shd w:fill="FFFFFF" w:val="clear"/>
        </w:rPr>
      </w:pPr>
      <w:r>
        <w:rPr>
          <w:rStyle w:val="Carpredefinitoparagrafo"/>
          <w:b w:val="false"/>
          <w:bCs w:val="false"/>
          <w:sz w:val="23"/>
          <w:szCs w:val="23"/>
          <w:u w:val="none"/>
          <w:shd w:fill="FFFFFF" w:val="clear"/>
        </w:rPr>
        <w:t xml:space="preserve"> </w:t>
      </w:r>
      <w:r>
        <w:rPr>
          <w:rStyle w:val="Carpredefinitoparagrafo"/>
          <w:b w:val="false"/>
          <w:bCs w:val="false"/>
          <w:sz w:val="23"/>
          <w:szCs w:val="23"/>
          <w:u w:val="none"/>
          <w:shd w:fill="FFFFFF" w:val="clear"/>
        </w:rPr>
        <w:t>per la partecipazione al Lotto 1 – Comune di Casalgrande Euro 362.800,00  (Euro Trecentosessantaduemilaottocento/00) iva esclusa</w:t>
      </w:r>
    </w:p>
    <w:p>
      <w:pPr>
        <w:pStyle w:val="Corpodeltesto"/>
        <w:widowControl w:val="false"/>
        <w:numPr>
          <w:ilvl w:val="0"/>
          <w:numId w:val="6"/>
        </w:numPr>
        <w:tabs>
          <w:tab w:val="left" w:pos="-14930" w:leader="none"/>
          <w:tab w:val="left" w:pos="-13938" w:leader="none"/>
          <w:tab w:val="left" w:pos="960" w:leader="none"/>
          <w:tab w:val="left" w:pos="2490" w:leader="none"/>
        </w:tabs>
        <w:spacing w:lineRule="atLeast" w:line="340"/>
        <w:jc w:val="both"/>
        <w:rPr>
          <w:rStyle w:val="Carpredefinitoparagrafo"/>
          <w:b w:val="false"/>
          <w:bCs w:val="false"/>
          <w:color w:val="000000"/>
          <w:sz w:val="23"/>
          <w:szCs w:val="23"/>
          <w:u w:val="none"/>
          <w:shd w:fill="FFFFFF" w:val="clear"/>
        </w:rPr>
      </w:pPr>
      <w:r>
        <w:rPr>
          <w:rStyle w:val="Carpredefinitoparagrafo"/>
          <w:b w:val="false"/>
          <w:bCs w:val="false"/>
          <w:color w:val="000000"/>
          <w:sz w:val="23"/>
          <w:szCs w:val="23"/>
          <w:u w:val="none"/>
          <w:shd w:fill="FFFFFF" w:val="clear"/>
        </w:rPr>
        <w:t xml:space="preserve"> </w:t>
      </w:r>
      <w:r>
        <w:rPr>
          <w:rStyle w:val="Carpredefinitoparagrafo"/>
          <w:b w:val="false"/>
          <w:bCs w:val="false"/>
          <w:color w:val="000000"/>
          <w:sz w:val="23"/>
          <w:szCs w:val="23"/>
          <w:u w:val="none"/>
          <w:shd w:fill="FFFFFF" w:val="clear"/>
        </w:rPr>
        <w:t>per la partecipazione al Lotto 2 – Comune di Castellarano Euro 319.600,00 (Euro Trecentodiciannoveseicento/00) iva esclusa;</w:t>
      </w:r>
    </w:p>
    <w:p>
      <w:pPr>
        <w:pStyle w:val="Corpodeltesto"/>
        <w:widowControl w:val="false"/>
        <w:numPr>
          <w:ilvl w:val="0"/>
          <w:numId w:val="6"/>
        </w:numPr>
        <w:tabs>
          <w:tab w:val="left" w:pos="-14930" w:leader="none"/>
          <w:tab w:val="left" w:pos="-13938" w:leader="none"/>
          <w:tab w:val="left" w:pos="960" w:leader="none"/>
          <w:tab w:val="left" w:pos="2490" w:leader="none"/>
        </w:tabs>
        <w:spacing w:lineRule="atLeast" w:line="340"/>
        <w:jc w:val="both"/>
        <w:rPr>
          <w:rStyle w:val="Carpredefinitoparagrafo"/>
          <w:b w:val="false"/>
          <w:bCs w:val="false"/>
          <w:color w:val="000000"/>
          <w:sz w:val="23"/>
          <w:szCs w:val="23"/>
          <w:u w:val="none"/>
          <w:shd w:fill="FFFFFF" w:val="clear"/>
        </w:rPr>
      </w:pPr>
      <w:r>
        <w:rPr>
          <w:rStyle w:val="Carpredefinitoparagrafo"/>
          <w:b w:val="false"/>
          <w:bCs w:val="false"/>
          <w:color w:val="000000"/>
          <w:sz w:val="23"/>
          <w:szCs w:val="23"/>
          <w:u w:val="none"/>
          <w:shd w:fill="FFFFFF" w:val="clear"/>
        </w:rPr>
        <w:t xml:space="preserve"> </w:t>
      </w:r>
      <w:r>
        <w:rPr>
          <w:rStyle w:val="Carpredefinitoparagrafo"/>
          <w:b w:val="false"/>
          <w:bCs w:val="false"/>
          <w:color w:val="000000"/>
          <w:sz w:val="23"/>
          <w:szCs w:val="23"/>
          <w:u w:val="none"/>
          <w:shd w:fill="FFFFFF" w:val="clear"/>
        </w:rPr>
        <w:t>per la partecipazione al Lotto 3 – Comune di Scandiano Euro 514.000,00 (Euro Cinquecentoquattordicimila/00) iva esclusa</w:t>
      </w:r>
    </w:p>
    <w:p>
      <w:pPr>
        <w:pStyle w:val="Normal"/>
        <w:spacing w:lineRule="atLeast" w:line="340"/>
        <w:ind w:left="720" w:right="0" w:hanging="0"/>
        <w:jc w:val="both"/>
        <w:rPr>
          <w:rStyle w:val="Carpredefinitoparagrafo"/>
          <w:rFonts w:cs="Calibri Light"/>
          <w:b w:val="false"/>
          <w:bCs w:val="false"/>
          <w:sz w:val="23"/>
          <w:szCs w:val="23"/>
          <w:u w:val="none"/>
          <w:shd w:fill="FFFFFF" w:val="clear"/>
        </w:rPr>
      </w:pPr>
      <w:r>
        <w:rPr>
          <w:rStyle w:val="Carpredefinitoparagrafo"/>
          <w:rFonts w:cs="Calibri Light"/>
          <w:b w:val="false"/>
          <w:bCs w:val="false"/>
          <w:sz w:val="23"/>
          <w:szCs w:val="23"/>
          <w:u w:val="none"/>
          <w:shd w:fill="FFFFFF" w:val="clear"/>
        </w:rPr>
        <w:t>(</w:t>
      </w:r>
      <w:r>
        <w:rPr>
          <w:rStyle w:val="Carpredefinitoparagrafo"/>
          <w:rFonts w:cs="Calibri Light"/>
          <w:b w:val="false"/>
          <w:bCs w:val="false"/>
          <w:sz w:val="23"/>
          <w:szCs w:val="23"/>
          <w:u w:val="single"/>
          <w:shd w:fill="FFFFFF" w:val="clear"/>
        </w:rPr>
        <w:t xml:space="preserve">In caso di partecipazione a più Lotti  il requisito dovrà essere dimostrato nella misura pari alla somma dei valori richiesti per i singoli Lotti cui si intende partecipare </w:t>
      </w:r>
      <w:r>
        <w:rPr>
          <w:rStyle w:val="Carpredefinitoparagrafo"/>
          <w:rFonts w:cs="Calibri Light"/>
          <w:b w:val="false"/>
          <w:bCs w:val="false"/>
          <w:sz w:val="23"/>
          <w:szCs w:val="23"/>
          <w:u w:val="none"/>
          <w:shd w:fill="FFFFFF" w:val="clear"/>
        </w:rPr>
        <w:t xml:space="preserve"> )</w:t>
      </w:r>
    </w:p>
    <w:p>
      <w:pPr>
        <w:pStyle w:val="Normal"/>
        <w:spacing w:lineRule="atLeast" w:line="340"/>
        <w:jc w:val="left"/>
        <w:rPr>
          <w:b/>
          <w:sz w:val="23"/>
          <w:szCs w:val="23"/>
        </w:rPr>
      </w:pPr>
      <w:r>
        <w:rPr>
          <w:b/>
          <w:sz w:val="23"/>
          <w:szCs w:val="23"/>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Tahoma"/>
          <w:b/>
          <w:bCs/>
          <w:sz w:val="23"/>
          <w:szCs w:val="23"/>
        </w:rPr>
      </w:pPr>
      <w:bookmarkStart w:id="29" w:name="__DdeLink__11616_192058556632"/>
      <w:r>
        <w:rPr>
          <w:rFonts w:eastAsia="Tahoma" w:cs="Tahoma"/>
          <w:b/>
          <w:bCs/>
          <w:sz w:val="23"/>
          <w:szCs w:val="23"/>
        </w:rPr>
        <w:t>indicare</w:t>
      </w:r>
      <w:bookmarkEnd w:id="29"/>
      <w:r>
        <w:rPr>
          <w:rFonts w:eastAsia="Tahoma" w:cs="Tahoma"/>
          <w:b/>
          <w:bCs/>
          <w:sz w:val="23"/>
          <w:szCs w:val="23"/>
        </w:rPr>
        <w:t>:</w:t>
      </w:r>
    </w:p>
    <w:p>
      <w:pPr>
        <w:pStyle w:val="Normal"/>
        <w:widowControl w:val="false"/>
        <w:tabs>
          <w:tab w:val="left" w:pos="-15780" w:leader="none"/>
          <w:tab w:val="left" w:pos="-14788" w:leader="none"/>
        </w:tabs>
        <w:suppressAutoHyphens w:val="true"/>
        <w:bidi w:val="0"/>
        <w:spacing w:lineRule="auto" w:line="360"/>
        <w:ind w:left="680" w:right="0" w:hanging="0"/>
        <w:jc w:val="left"/>
        <w:textAlignment w:val="baseline"/>
        <w:rPr/>
      </w:pPr>
      <w:r>
        <w:rPr/>
      </w:r>
    </w:p>
    <w:p>
      <w:pPr>
        <w:pStyle w:val="Normal"/>
        <w:widowControl w:val="false"/>
        <w:tabs>
          <w:tab w:val="left" w:pos="-15780" w:leader="none"/>
          <w:tab w:val="left" w:pos="-14788" w:leader="none"/>
        </w:tabs>
        <w:suppressAutoHyphens w:val="true"/>
        <w:bidi w:val="0"/>
        <w:spacing w:lineRule="auto" w:line="360"/>
        <w:ind w:left="680" w:right="0" w:hanging="0"/>
        <w:jc w:val="left"/>
        <w:textAlignment w:val="baseline"/>
        <w:rPr>
          <w:rStyle w:val="Carpredefinitoparagrafo"/>
          <w:rFonts w:eastAsia="Tahoma" w:cs="Calibri Light"/>
          <w:b/>
          <w:bCs/>
          <w:sz w:val="23"/>
          <w:szCs w:val="23"/>
          <w:shd w:fill="FFFFFF" w:val="clear"/>
        </w:rPr>
      </w:pPr>
      <w:r>
        <w:rPr>
          <w:rFonts w:eastAsia="Tahoma" w:cs="Calibri Light"/>
          <w:b/>
          <w:bCs/>
          <w:sz w:val="23"/>
          <w:szCs w:val="23"/>
          <w:shd w:fill="FFFFFF" w:val="clear"/>
        </w:rPr>
        <w:t>Oggetto del contratto nel</w:t>
      </w:r>
      <w:r>
        <w:rPr>
          <w:rStyle w:val="Carpredefinitoparagrafo"/>
          <w:rFonts w:eastAsia="Tahoma" w:cs="Calibri Light"/>
          <w:b/>
          <w:bCs/>
          <w:sz w:val="23"/>
          <w:szCs w:val="23"/>
          <w:shd w:fill="FFFFFF" w:val="clear"/>
        </w:rPr>
        <w:t xml:space="preserve"> settore dell’appalto di gara (cioè servizio educativo 0-6 anni)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48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importo (</w:t>
      </w:r>
      <w:r>
        <w:rPr>
          <w:rFonts w:eastAsia="Tahoma" w:cs="Tahoma"/>
          <w:b w:val="false"/>
          <w:bCs w:val="false"/>
          <w:color w:val="000000"/>
          <w:sz w:val="23"/>
          <w:szCs w:val="23"/>
          <w:highlight w:val="white"/>
        </w:rPr>
        <w:t>iva esclusa)</w:t>
      </w:r>
      <w:r>
        <w:rPr>
          <w:rFonts w:eastAsia="Tahoma" w:cs="Calibri Light"/>
          <w:bCs/>
          <w:sz w:val="23"/>
          <w:szCs w:val="23"/>
          <w:shd w:fill="FFFFFF" w:val="clear"/>
        </w:rPr>
        <w:t>:_______________________________________________________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both"/>
        <w:textAlignment w:val="baseline"/>
        <w:rPr>
          <w:b w:val="false"/>
          <w:bCs w:val="false"/>
          <w:sz w:val="23"/>
          <w:szCs w:val="23"/>
        </w:rPr>
      </w:pPr>
      <w:r>
        <w:rPr>
          <w:b w:val="false"/>
          <w:bCs w:val="false"/>
          <w:sz w:val="23"/>
          <w:szCs w:val="23"/>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Style w:val="Carpredefinitoparagrafo"/>
          <w:rFonts w:eastAsia="Tahoma" w:cs="Calibri Light"/>
          <w:b/>
          <w:bCs/>
          <w:sz w:val="23"/>
          <w:szCs w:val="23"/>
          <w:shd w:fill="FFFFFF" w:val="clear"/>
        </w:rPr>
      </w:pPr>
      <w:r>
        <w:rPr>
          <w:rFonts w:eastAsia="Tahoma" w:cs="Calibri Light"/>
          <w:b/>
          <w:bCs/>
          <w:sz w:val="23"/>
          <w:szCs w:val="23"/>
          <w:shd w:fill="FFFFFF" w:val="clear"/>
        </w:rPr>
        <w:t xml:space="preserve">Oggetto del contratto nel </w:t>
      </w:r>
      <w:r>
        <w:rPr>
          <w:rStyle w:val="Carpredefinitoparagrafo"/>
          <w:rFonts w:eastAsia="Tahoma" w:cs="Calibri Light"/>
          <w:b/>
          <w:bCs/>
          <w:sz w:val="23"/>
          <w:szCs w:val="23"/>
          <w:shd w:fill="FFFFFF" w:val="clear"/>
        </w:rPr>
        <w:t>settore dell’appalto di gara (cioè servizio educativo 0-6 anni)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48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importo (</w:t>
      </w:r>
      <w:r>
        <w:rPr>
          <w:rFonts w:eastAsia="Tahoma" w:cs="Tahoma"/>
          <w:b w:val="false"/>
          <w:bCs w:val="false"/>
          <w:color w:val="000000"/>
          <w:sz w:val="23"/>
          <w:szCs w:val="23"/>
          <w:highlight w:val="white"/>
        </w:rPr>
        <w:t>iva esclusa)</w:t>
      </w:r>
      <w:r>
        <w:rPr>
          <w:rFonts w:eastAsia="Tahoma" w:cs="Calibri Light"/>
          <w:bCs/>
          <w:sz w:val="23"/>
          <w:szCs w:val="23"/>
          <w:shd w:fill="FFFFFF" w:val="clear"/>
        </w:rPr>
        <w:t>:_________________________________________________________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pPr>
      <w:r>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Style w:val="Carpredefinitoparagrafo"/>
          <w:rFonts w:eastAsia="Tahoma" w:cs="Calibri Light"/>
          <w:b/>
          <w:bCs/>
          <w:sz w:val="23"/>
          <w:szCs w:val="23"/>
          <w:shd w:fill="FFFFFF" w:val="clear"/>
        </w:rPr>
      </w:pPr>
      <w:r>
        <w:rPr>
          <w:rFonts w:eastAsia="Tahoma" w:cs="Calibri Light"/>
          <w:b/>
          <w:bCs/>
          <w:sz w:val="23"/>
          <w:szCs w:val="23"/>
          <w:shd w:fill="FFFFFF" w:val="clear"/>
        </w:rPr>
        <w:t>Oggetto del contratto nel</w:t>
      </w:r>
      <w:r>
        <w:rPr>
          <w:rStyle w:val="Carpredefinitoparagrafo"/>
          <w:rFonts w:eastAsia="Tahoma" w:cs="Calibri Light"/>
          <w:b/>
          <w:bCs/>
          <w:sz w:val="23"/>
          <w:szCs w:val="23"/>
          <w:shd w:fill="FFFFFF" w:val="clear"/>
        </w:rPr>
        <w:t xml:space="preserve"> settore dell’appalto di gara (cioè servizio educativo 0-6 anni)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48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importo (</w:t>
      </w:r>
      <w:r>
        <w:rPr>
          <w:rFonts w:eastAsia="Tahoma" w:cs="Tahoma"/>
          <w:b w:val="false"/>
          <w:bCs w:val="false"/>
          <w:color w:val="000000"/>
          <w:sz w:val="23"/>
          <w:szCs w:val="23"/>
          <w:highlight w:val="white"/>
        </w:rPr>
        <w:t>iva esclusa)</w:t>
      </w:r>
      <w:r>
        <w:rPr>
          <w:rFonts w:eastAsia="Tahoma" w:cs="Calibri Light"/>
          <w:bCs/>
          <w:sz w:val="23"/>
          <w:szCs w:val="23"/>
          <w:shd w:fill="FFFFFF" w:val="clear"/>
        </w:rPr>
        <w:t>:______________________________________________________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highlight w:val="white"/>
        </w:rPr>
      </w:pPr>
      <w:r>
        <w:rPr>
          <w:rFonts w:eastAsia="Tahoma" w:cs="Calibri Light"/>
          <w:bCs/>
          <w:sz w:val="23"/>
          <w:szCs w:val="23"/>
          <w:highlight w:val="white"/>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Style w:val="Carpredefinitoparagrafo"/>
          <w:rFonts w:eastAsia="Tahoma" w:cs="Calibri Light"/>
          <w:b/>
          <w:bCs/>
          <w:sz w:val="23"/>
          <w:szCs w:val="23"/>
          <w:shd w:fill="FFFFFF" w:val="clear"/>
        </w:rPr>
      </w:pPr>
      <w:r>
        <w:rPr>
          <w:rFonts w:eastAsia="Tahoma" w:cs="Calibri Light"/>
          <w:b/>
          <w:bCs/>
          <w:sz w:val="23"/>
          <w:szCs w:val="23"/>
          <w:shd w:fill="FFFFFF" w:val="clear"/>
        </w:rPr>
        <w:t xml:space="preserve">oggetto del contratto nel </w:t>
      </w:r>
      <w:r>
        <w:rPr>
          <w:rStyle w:val="Carpredefinitoparagrafo"/>
          <w:rFonts w:eastAsia="Tahoma" w:cs="Calibri Light"/>
          <w:b/>
          <w:bCs/>
          <w:sz w:val="23"/>
          <w:szCs w:val="23"/>
          <w:shd w:fill="FFFFFF" w:val="clear"/>
        </w:rPr>
        <w:t xml:space="preserve"> settore dell’appalto di gara (cioè servizio educativo 0-6 anni)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48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importo (</w:t>
      </w:r>
      <w:r>
        <w:rPr>
          <w:rFonts w:eastAsia="Tahoma" w:cs="Tahoma"/>
          <w:b w:val="false"/>
          <w:bCs w:val="false"/>
          <w:color w:val="000000"/>
          <w:sz w:val="23"/>
          <w:szCs w:val="23"/>
          <w:highlight w:val="white"/>
        </w:rPr>
        <w:t>iva esclusa)</w:t>
      </w:r>
      <w:r>
        <w:rPr>
          <w:rFonts w:eastAsia="Tahoma" w:cs="Calibri Light"/>
          <w:bCs/>
          <w:sz w:val="23"/>
          <w:szCs w:val="23"/>
          <w:shd w:fill="FFFFFF" w:val="clear"/>
        </w:rPr>
        <w:t>:______________________________________________________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both"/>
        <w:textAlignment w:val="baseline"/>
        <w:rPr>
          <w:rFonts w:cs="Calibri Light"/>
          <w:b/>
          <w:bCs/>
          <w:sz w:val="23"/>
          <w:szCs w:val="23"/>
          <w:highlight w:val="white"/>
          <w:u w:val="none"/>
        </w:rPr>
      </w:pPr>
      <w:bookmarkEnd w:id="28"/>
      <w:r>
        <w:rPr>
          <w:rFonts w:cs="Calibri Light"/>
          <w:b/>
          <w:bCs/>
          <w:sz w:val="23"/>
          <w:szCs w:val="23"/>
          <w:highlight w:val="white"/>
          <w:u w:val="none"/>
        </w:rPr>
      </w:r>
    </w:p>
    <w:p>
      <w:pPr>
        <w:pStyle w:val="Normal"/>
        <w:spacing w:lineRule="atLeast" w:line="340"/>
        <w:jc w:val="both"/>
        <w:rPr>
          <w:b/>
          <w:sz w:val="23"/>
          <w:szCs w:val="23"/>
        </w:rPr>
      </w:pPr>
      <w:r>
        <w:rPr>
          <w:rStyle w:val="Carpredefinitoparagrafo"/>
          <w:rFonts w:eastAsia="Times New Roman" w:cs="Times New Roman"/>
          <w:b/>
          <w:bCs w:val="false"/>
          <w:i w:val="false"/>
          <w:iCs w:val="false"/>
          <w:color w:val="000000"/>
          <w:sz w:val="23"/>
          <w:szCs w:val="23"/>
          <w:lang w:eastAsia="it-IT" w:bidi="ar-SA"/>
        </w:rPr>
        <w:t xml:space="preserve">Requisiti di capacità tecnico-professionale </w:t>
      </w:r>
      <w:r>
        <w:rPr>
          <w:rStyle w:val="Carpredefinitoparagrafo"/>
          <w:rFonts w:eastAsia="Times New Roman" w:cs="Times New Roman"/>
          <w:b/>
          <w:bCs w:val="false"/>
          <w:i w:val="false"/>
          <w:iCs w:val="false"/>
          <w:color w:val="000000"/>
          <w:sz w:val="23"/>
          <w:szCs w:val="23"/>
          <w:u w:val="none"/>
          <w:lang w:eastAsia="it-IT" w:bidi="ar-SA"/>
        </w:rPr>
        <w:t>(Riferimento 8.2 lett. d del Disciplinare di gara)</w:t>
      </w:r>
      <w:r>
        <w:rPr>
          <w:b/>
          <w:sz w:val="23"/>
          <w:szCs w:val="23"/>
        </w:rPr>
        <w:t>:</w:t>
      </w:r>
    </w:p>
    <w:p>
      <w:pPr>
        <w:pStyle w:val="Normal"/>
        <w:spacing w:lineRule="atLeast" w:line="340"/>
        <w:jc w:val="left"/>
        <w:rPr>
          <w:b/>
          <w:sz w:val="23"/>
          <w:szCs w:val="23"/>
        </w:rPr>
      </w:pPr>
      <w:r>
        <w:rPr>
          <w:b/>
          <w:sz w:val="23"/>
          <w:szCs w:val="23"/>
        </w:rPr>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0" w:right="0" w:hanging="0"/>
        <w:jc w:val="both"/>
        <w:textAlignment w:val="baseline"/>
        <w:rPr>
          <w:rStyle w:val="Carpredefinitoparagrafo"/>
          <w:sz w:val="23"/>
          <w:szCs w:val="23"/>
          <w:highlight w:val="white"/>
        </w:rPr>
      </w:pPr>
      <w:r>
        <w:rPr>
          <w:rStyle w:val="Carpredefinitoparagrafo"/>
          <w:b w:val="false"/>
          <w:bCs w:val="false"/>
          <w:sz w:val="23"/>
          <w:szCs w:val="23"/>
          <w:highlight w:val="white"/>
        </w:rPr>
        <w:t>- Es</w:t>
      </w:r>
      <w:r>
        <w:rPr>
          <w:rStyle w:val="Carpredefinitoparagrafo"/>
          <w:b w:val="false"/>
          <w:bCs w:val="false"/>
          <w:color w:val="00000A"/>
          <w:sz w:val="23"/>
          <w:szCs w:val="23"/>
          <w:highlight w:val="white"/>
        </w:rPr>
        <w:t>perienza minima del personale di ore documentate/attestate nell’ultimo triennio (2018/2017/2016)</w:t>
      </w:r>
      <w:r>
        <w:rPr>
          <w:rStyle w:val="Carpredefinitoparagrafo"/>
          <w:b/>
          <w:bCs/>
          <w:color w:val="00000A"/>
          <w:sz w:val="23"/>
          <w:szCs w:val="23"/>
          <w:highlight w:val="white"/>
        </w:rPr>
        <w:t xml:space="preserve"> nel settore oggetto del presente appalto (servizio educativo 0-6 anni) a favore di Enti Pubblici o soggetti privati</w:t>
      </w:r>
      <w:bookmarkStart w:id="30" w:name="__DdeLink__87426_4426675321"/>
      <w:r>
        <w:rPr>
          <w:rStyle w:val="Carpredefinitoparagrafo"/>
          <w:b w:val="false"/>
          <w:bCs w:val="false"/>
          <w:color w:val="00000A"/>
          <w:sz w:val="23"/>
          <w:szCs w:val="23"/>
          <w:highlight w:val="white"/>
        </w:rPr>
        <w:t xml:space="preserve"> sia per tempo prolungato sia per sostegno bambini disabili,  almeno pari</w:t>
      </w:r>
      <w:r>
        <w:rPr>
          <w:rStyle w:val="Carpredefinitoparagrafo"/>
          <w:sz w:val="23"/>
          <w:szCs w:val="23"/>
          <w:highlight w:val="white"/>
        </w:rPr>
        <w:t xml:space="preserve"> a quanto indicato per ciascun Lotto di partecipazione (contrassegnare il Lotto di interesse), come segue:</w:t>
      </w:r>
    </w:p>
    <w:p>
      <w:pPr>
        <w:pStyle w:val="Normal"/>
        <w:spacing w:lineRule="atLeast" w:line="340"/>
        <w:jc w:val="both"/>
        <w:rPr>
          <w:sz w:val="23"/>
          <w:szCs w:val="23"/>
          <w:highlight w:val="white"/>
        </w:rPr>
      </w:pPr>
      <w:r>
        <w:rPr>
          <w:sz w:val="23"/>
          <w:szCs w:val="23"/>
          <w:highlight w:val="white"/>
        </w:rPr>
      </w:r>
    </w:p>
    <w:p>
      <w:pPr>
        <w:pStyle w:val="Normal"/>
        <w:widowControl/>
        <w:suppressAutoHyphens w:val="true"/>
        <w:bidi w:val="0"/>
        <w:spacing w:lineRule="atLeast" w:line="340"/>
        <w:ind w:left="737" w:right="0" w:hanging="0"/>
        <w:jc w:val="both"/>
        <w:textAlignment w:val="baseline"/>
        <w:rPr>
          <w:rStyle w:val="Carpredefinitoparagrafo"/>
          <w:b w:val="false"/>
          <w:bCs w:val="false"/>
          <w:color w:val="00000A"/>
          <w:sz w:val="23"/>
          <w:szCs w:val="23"/>
          <w:highlight w:val="white"/>
        </w:rPr>
      </w:pPr>
      <w:r>
        <w:rPr>
          <w:color w:val="00000A"/>
          <w:sz w:val="23"/>
          <w:szCs w:val="23"/>
        </w:rPr>
        <w:t xml:space="preserve">- tempo prolungato: i servizi prestati </w:t>
      </w:r>
      <w:r>
        <w:rPr>
          <w:rStyle w:val="Carpredefinitoparagrafo"/>
          <w:b/>
          <w:bCs/>
          <w:color w:val="00000A"/>
          <w:sz w:val="23"/>
          <w:szCs w:val="23"/>
          <w:highlight w:val="white"/>
        </w:rPr>
        <w:t>a favore di Enti Pubblici o soggetti privati</w:t>
      </w:r>
      <w:r>
        <w:rPr>
          <w:color w:val="00000A"/>
          <w:sz w:val="23"/>
          <w:szCs w:val="23"/>
        </w:rPr>
        <w:t xml:space="preserve"> ad integrazione dell'orario quotidiano di funzionamento dei nidi o scuole infanzia con un'esperienza minima del personale di ore documentate/attestate, </w:t>
      </w:r>
      <w:r>
        <w:rPr>
          <w:rStyle w:val="Carpredefinitoparagrafo"/>
          <w:b w:val="false"/>
          <w:bCs w:val="false"/>
          <w:color w:val="00000A"/>
          <w:sz w:val="23"/>
          <w:szCs w:val="23"/>
          <w:highlight w:val="white"/>
        </w:rPr>
        <w:t>almeno pari a quanto indicato per ciascun Lotto di partecipazione (contrassegnare il Lotto di interesse), come segue:</w:t>
      </w:r>
    </w:p>
    <w:p>
      <w:pPr>
        <w:pStyle w:val="Normal"/>
        <w:spacing w:lineRule="atLeast" w:line="340"/>
        <w:ind w:left="1440" w:right="0" w:hanging="0"/>
        <w:jc w:val="both"/>
        <w:rPr>
          <w:b w:val="false"/>
          <w:bCs w:val="false"/>
          <w:color w:val="00000A"/>
          <w:sz w:val="23"/>
          <w:szCs w:val="23"/>
          <w:highlight w:val="white"/>
        </w:rPr>
      </w:pPr>
      <w:r>
        <w:rPr>
          <w:b w:val="false"/>
          <w:bCs w:val="false"/>
          <w:color w:val="00000A"/>
          <w:sz w:val="23"/>
          <w:szCs w:val="23"/>
          <w:highlight w:val="white"/>
        </w:rPr>
      </w:r>
    </w:p>
    <w:p>
      <w:pPr>
        <w:pStyle w:val="Corpodeltesto"/>
        <w:numPr>
          <w:ilvl w:val="0"/>
          <w:numId w:val="6"/>
        </w:numPr>
        <w:jc w:val="both"/>
        <w:rPr>
          <w:rStyle w:val="Carpredefinitoparagrafo"/>
          <w:b/>
          <w:bCs/>
          <w:color w:val="000000"/>
          <w:sz w:val="23"/>
          <w:szCs w:val="23"/>
          <w:u w:val="none"/>
          <w:shd w:fill="FFFFFF" w:val="clear"/>
        </w:rPr>
      </w:pPr>
      <w:r>
        <w:rPr>
          <w:rStyle w:val="Carpredefinitoparagrafo"/>
          <w:b w:val="false"/>
          <w:bCs w:val="false"/>
          <w:sz w:val="23"/>
          <w:szCs w:val="23"/>
          <w:u w:val="none"/>
          <w:shd w:fill="FFFFFF" w:val="clear"/>
        </w:rPr>
        <w:t xml:space="preserve"> </w:t>
      </w:r>
      <w:r>
        <w:rPr>
          <w:rStyle w:val="Carpredefinitoparagrafo"/>
          <w:b w:val="false"/>
          <w:bCs w:val="false"/>
          <w:sz w:val="23"/>
          <w:szCs w:val="23"/>
          <w:u w:val="none"/>
          <w:shd w:fill="FFFFFF" w:val="clear"/>
        </w:rPr>
        <w:t xml:space="preserve">per la partecipazione al Lotto 1 – Comune di Casalgrande </w:t>
      </w:r>
      <w:r>
        <w:rPr>
          <w:rStyle w:val="Carpredefinitoparagrafo"/>
          <w:b/>
          <w:bCs/>
          <w:color w:val="000000"/>
          <w:sz w:val="23"/>
          <w:szCs w:val="23"/>
          <w:highlight w:val="white"/>
          <w:u w:val="none"/>
          <w:shd w:fill="FFFFFF" w:val="clear"/>
        </w:rPr>
        <w:t>Es</w:t>
      </w:r>
      <w:r>
        <w:rPr>
          <w:rStyle w:val="Carpredefinitoparagrafo"/>
          <w:b/>
          <w:bCs/>
          <w:color w:val="00000A"/>
          <w:sz w:val="23"/>
          <w:szCs w:val="23"/>
          <w:highlight w:val="white"/>
          <w:u w:val="none"/>
          <w:shd w:fill="FFFFFF" w:val="clear"/>
        </w:rPr>
        <w:t xml:space="preserve">perienza minima del personale  documentate/attestate </w:t>
      </w:r>
      <w:r>
        <w:rPr>
          <w:rStyle w:val="Carpredefinitoparagrafo"/>
          <w:b/>
          <w:bCs/>
          <w:color w:val="000000"/>
          <w:sz w:val="23"/>
          <w:szCs w:val="23"/>
          <w:u w:val="none"/>
          <w:shd w:fill="FFFFFF" w:val="clear"/>
        </w:rPr>
        <w:t>2.900/ore di tempo prolungato</w:t>
      </w:r>
    </w:p>
    <w:p>
      <w:pPr>
        <w:pStyle w:val="Corpodeltesto"/>
        <w:widowControl w:val="false"/>
        <w:numPr>
          <w:ilvl w:val="0"/>
          <w:numId w:val="6"/>
        </w:numPr>
        <w:tabs>
          <w:tab w:val="left" w:pos="-14930" w:leader="none"/>
          <w:tab w:val="left" w:pos="-13938" w:leader="none"/>
          <w:tab w:val="left" w:pos="960" w:leader="none"/>
          <w:tab w:val="left" w:pos="2490" w:leader="none"/>
        </w:tabs>
        <w:spacing w:lineRule="atLeast" w:line="340"/>
        <w:jc w:val="both"/>
        <w:rPr>
          <w:rStyle w:val="Carpredefinitoparagrafo"/>
          <w:b/>
          <w:bCs/>
          <w:color w:val="000000"/>
          <w:sz w:val="23"/>
          <w:szCs w:val="23"/>
          <w:u w:val="none"/>
          <w:shd w:fill="FFFFFF" w:val="clear"/>
        </w:rPr>
      </w:pPr>
      <w:r>
        <w:rPr>
          <w:rStyle w:val="Carpredefinitoparagrafo"/>
          <w:b w:val="false"/>
          <w:bCs w:val="false"/>
          <w:color w:val="000000"/>
          <w:sz w:val="23"/>
          <w:szCs w:val="23"/>
          <w:u w:val="none"/>
          <w:shd w:fill="FFFFFF" w:val="clear"/>
        </w:rPr>
        <w:t xml:space="preserve"> </w:t>
      </w:r>
      <w:r>
        <w:rPr>
          <w:rStyle w:val="Carpredefinitoparagrafo"/>
          <w:b w:val="false"/>
          <w:bCs w:val="false"/>
          <w:color w:val="000000"/>
          <w:sz w:val="23"/>
          <w:szCs w:val="23"/>
          <w:u w:val="none"/>
          <w:shd w:fill="FFFFFF" w:val="clear"/>
        </w:rPr>
        <w:t xml:space="preserve">per la partecipazione al Lotto 2 – Comune  di Castellarano </w:t>
      </w:r>
      <w:r>
        <w:rPr>
          <w:rStyle w:val="Carpredefinitoparagrafo"/>
          <w:b/>
          <w:bCs/>
          <w:color w:val="000000"/>
          <w:sz w:val="23"/>
          <w:szCs w:val="23"/>
          <w:highlight w:val="white"/>
          <w:u w:val="none"/>
          <w:shd w:fill="FFFFFF" w:val="clear"/>
        </w:rPr>
        <w:t>Es</w:t>
      </w:r>
      <w:r>
        <w:rPr>
          <w:rStyle w:val="Carpredefinitoparagrafo"/>
          <w:b/>
          <w:bCs/>
          <w:color w:val="00000A"/>
          <w:sz w:val="23"/>
          <w:szCs w:val="23"/>
          <w:highlight w:val="white"/>
          <w:u w:val="none"/>
          <w:shd w:fill="FFFFFF" w:val="clear"/>
        </w:rPr>
        <w:t>perienza minima del personale documentate/attestate 1.400</w:t>
      </w:r>
      <w:r>
        <w:rPr>
          <w:rStyle w:val="Carpredefinitoparagrafo"/>
          <w:b/>
          <w:bCs/>
          <w:color w:val="000000"/>
          <w:sz w:val="23"/>
          <w:szCs w:val="23"/>
          <w:u w:val="none"/>
          <w:shd w:fill="FFFFFF" w:val="clear"/>
        </w:rPr>
        <w:t>/ore di tempo prolungato</w:t>
      </w:r>
    </w:p>
    <w:p>
      <w:pPr>
        <w:pStyle w:val="Corpodeltesto"/>
        <w:widowControl w:val="false"/>
        <w:numPr>
          <w:ilvl w:val="0"/>
          <w:numId w:val="6"/>
        </w:numPr>
        <w:tabs>
          <w:tab w:val="left" w:pos="-14930" w:leader="none"/>
          <w:tab w:val="left" w:pos="-13938" w:leader="none"/>
          <w:tab w:val="left" w:pos="960" w:leader="none"/>
          <w:tab w:val="left" w:pos="2490" w:leader="none"/>
        </w:tabs>
        <w:spacing w:lineRule="atLeast" w:line="340"/>
        <w:jc w:val="both"/>
        <w:rPr>
          <w:rStyle w:val="Carpredefinitoparagrafo"/>
          <w:b/>
          <w:bCs/>
          <w:color w:val="000000"/>
          <w:sz w:val="23"/>
          <w:szCs w:val="23"/>
          <w:u w:val="none"/>
          <w:shd w:fill="FFFFFF" w:val="clear"/>
        </w:rPr>
      </w:pPr>
      <w:r>
        <w:rPr>
          <w:rStyle w:val="Carpredefinitoparagrafo"/>
          <w:b w:val="false"/>
          <w:bCs w:val="false"/>
          <w:color w:val="000000"/>
          <w:sz w:val="23"/>
          <w:szCs w:val="23"/>
          <w:u w:val="none"/>
          <w:shd w:fill="FFFFFF" w:val="clear"/>
        </w:rPr>
        <w:t xml:space="preserve"> </w:t>
      </w:r>
      <w:r>
        <w:rPr>
          <w:rStyle w:val="Carpredefinitoparagrafo"/>
          <w:b w:val="false"/>
          <w:bCs w:val="false"/>
          <w:color w:val="000000"/>
          <w:sz w:val="23"/>
          <w:szCs w:val="23"/>
          <w:u w:val="none"/>
          <w:shd w:fill="FFFFFF" w:val="clear"/>
        </w:rPr>
        <w:t xml:space="preserve">per la partecipazione al Lotto 3 – Comune di Scandiano – </w:t>
      </w:r>
      <w:r>
        <w:rPr>
          <w:rStyle w:val="Carpredefinitoparagrafo"/>
          <w:b/>
          <w:bCs/>
          <w:color w:val="000000"/>
          <w:sz w:val="23"/>
          <w:szCs w:val="23"/>
          <w:highlight w:val="white"/>
          <w:u w:val="none"/>
          <w:shd w:fill="FFFFFF" w:val="clear"/>
        </w:rPr>
        <w:t>Es</w:t>
      </w:r>
      <w:r>
        <w:rPr>
          <w:rStyle w:val="Carpredefinitoparagrafo"/>
          <w:b/>
          <w:bCs/>
          <w:color w:val="00000A"/>
          <w:sz w:val="23"/>
          <w:szCs w:val="23"/>
          <w:highlight w:val="white"/>
          <w:u w:val="none"/>
          <w:shd w:fill="FFFFFF" w:val="clear"/>
        </w:rPr>
        <w:t xml:space="preserve">perienza minima del personale  documentate/attestate </w:t>
      </w:r>
      <w:r>
        <w:rPr>
          <w:rStyle w:val="Carpredefinitoparagrafo"/>
          <w:b/>
          <w:bCs/>
          <w:color w:val="000000"/>
          <w:sz w:val="23"/>
          <w:szCs w:val="23"/>
          <w:u w:val="none"/>
          <w:shd w:fill="FFFFFF" w:val="clear"/>
        </w:rPr>
        <w:t>2.700/ore di tempo prolungato</w:t>
      </w:r>
    </w:p>
    <w:p>
      <w:pPr>
        <w:pStyle w:val="Corpodeltesto"/>
        <w:widowControl w:val="false"/>
        <w:tabs>
          <w:tab w:val="left" w:pos="-14930" w:leader="none"/>
          <w:tab w:val="left" w:pos="-13938" w:leader="none"/>
          <w:tab w:val="left" w:pos="960" w:leader="none"/>
          <w:tab w:val="left" w:pos="2490" w:leader="none"/>
        </w:tabs>
        <w:spacing w:lineRule="atLeast" w:line="340"/>
        <w:ind w:left="720" w:right="56" w:hanging="0"/>
        <w:jc w:val="both"/>
        <w:rPr>
          <w:b w:val="false"/>
          <w:bCs w:val="false"/>
          <w:color w:val="000000"/>
          <w:sz w:val="23"/>
          <w:szCs w:val="23"/>
          <w:highlight w:val="white"/>
          <w:u w:val="none"/>
        </w:rPr>
      </w:pPr>
      <w:r>
        <w:rPr>
          <w:b w:val="false"/>
          <w:bCs w:val="false"/>
          <w:color w:val="000000"/>
          <w:sz w:val="23"/>
          <w:szCs w:val="23"/>
          <w:highlight w:val="white"/>
          <w:u w:val="none"/>
        </w:rPr>
      </w:r>
    </w:p>
    <w:p>
      <w:pPr>
        <w:pStyle w:val="Normal"/>
        <w:spacing w:lineRule="atLeast" w:line="340"/>
        <w:ind w:left="720" w:right="0" w:hanging="0"/>
        <w:jc w:val="both"/>
        <w:rPr>
          <w:rStyle w:val="Carpredefinitoparagrafo"/>
          <w:rFonts w:cs="Calibri Light"/>
          <w:b w:val="false"/>
          <w:bCs w:val="false"/>
          <w:sz w:val="23"/>
          <w:szCs w:val="23"/>
          <w:u w:val="none"/>
          <w:shd w:fill="FFFFFF" w:val="clear"/>
        </w:rPr>
      </w:pPr>
      <w:r>
        <w:rPr>
          <w:rStyle w:val="Carpredefinitoparagrafo"/>
          <w:rFonts w:cs="Calibri Light"/>
          <w:b w:val="false"/>
          <w:bCs w:val="false"/>
          <w:sz w:val="23"/>
          <w:szCs w:val="23"/>
          <w:u w:val="none"/>
          <w:shd w:fill="FFFFFF" w:val="clear"/>
        </w:rPr>
        <w:t>(</w:t>
      </w:r>
      <w:r>
        <w:rPr>
          <w:rStyle w:val="Carpredefinitoparagrafo"/>
          <w:rFonts w:cs="Calibri Light"/>
          <w:b w:val="false"/>
          <w:bCs w:val="false"/>
          <w:sz w:val="23"/>
          <w:szCs w:val="23"/>
          <w:u w:val="single"/>
          <w:shd w:fill="FFFFFF" w:val="clear"/>
        </w:rPr>
        <w:t>In caso di partecipazione a più Lotti  il requisito dovrà essere dimostrato nella misura pari alla somma dei valori richiesti per i singoli Lotti cui si intende partecipare</w:t>
      </w:r>
      <w:r>
        <w:rPr>
          <w:rStyle w:val="Carpredefinitoparagrafo"/>
          <w:rFonts w:cs="Calibri Light"/>
          <w:b w:val="false"/>
          <w:bCs w:val="false"/>
          <w:sz w:val="23"/>
          <w:szCs w:val="23"/>
          <w:u w:val="none"/>
          <w:shd w:fill="FFFFFF" w:val="clear"/>
        </w:rPr>
        <w:t>)</w:t>
      </w:r>
    </w:p>
    <w:p>
      <w:pPr>
        <w:pStyle w:val="Normal"/>
        <w:spacing w:lineRule="atLeast" w:line="340"/>
        <w:jc w:val="left"/>
        <w:rPr>
          <w:b/>
          <w:sz w:val="23"/>
          <w:szCs w:val="23"/>
        </w:rPr>
      </w:pPr>
      <w:r>
        <w:rPr>
          <w:b/>
          <w:sz w:val="23"/>
          <w:szCs w:val="23"/>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Tahoma"/>
          <w:b/>
          <w:bCs/>
          <w:sz w:val="23"/>
          <w:szCs w:val="23"/>
        </w:rPr>
      </w:pPr>
      <w:bookmarkStart w:id="31" w:name="__DdeLink__11616_19205855663"/>
      <w:r>
        <w:rPr>
          <w:rFonts w:eastAsia="Tahoma" w:cs="Tahoma"/>
          <w:b/>
          <w:bCs/>
          <w:sz w:val="23"/>
          <w:szCs w:val="23"/>
        </w:rPr>
        <w:t>indicare</w:t>
      </w:r>
      <w:bookmarkEnd w:id="31"/>
      <w:r>
        <w:rPr>
          <w:rFonts w:eastAsia="Tahoma" w:cs="Tahoma"/>
          <w:b/>
          <w:bCs/>
          <w:sz w:val="23"/>
          <w:szCs w:val="23"/>
        </w:rPr>
        <w:t>:</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color w:val="00000A"/>
          <w:sz w:val="23"/>
          <w:szCs w:val="23"/>
          <w:highlight w:val="white"/>
        </w:rPr>
      </w:pPr>
      <w:r>
        <w:rPr>
          <w:rFonts w:eastAsia="Tahoma" w:cs="Calibri Light"/>
          <w:bCs/>
          <w:color w:val="00000A"/>
          <w:sz w:val="23"/>
          <w:szCs w:val="23"/>
          <w:highlight w:val="white"/>
        </w:rPr>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both"/>
        <w:textAlignment w:val="baseline"/>
        <w:rPr>
          <w:b w:val="false"/>
          <w:bCs w:val="false"/>
          <w:sz w:val="23"/>
          <w:szCs w:val="23"/>
        </w:rPr>
      </w:pPr>
      <w:r>
        <w:rPr>
          <w:rStyle w:val="Carpredefinitoparagrafo"/>
          <w:b w:val="false"/>
          <w:bCs w:val="false"/>
          <w:sz w:val="23"/>
          <w:szCs w:val="23"/>
          <w:highlight w:val="white"/>
        </w:rPr>
        <w:t xml:space="preserve">Prestazione </w:t>
      </w:r>
      <w:r>
        <w:rPr>
          <w:b w:val="false"/>
          <w:bCs w:val="false"/>
          <w:sz w:val="23"/>
          <w:szCs w:val="23"/>
        </w:rPr>
        <w:t>tempo prolungato complessive n. ore 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highlight w:val="white"/>
          <w:lang w:val="it-IT" w:eastAsia="zh-CN" w:bidi="ar-SA"/>
        </w:rPr>
      </w:pPr>
      <w:r>
        <w:rPr>
          <w:rFonts w:eastAsia="Tahoma" w:cs="Calibri Light"/>
          <w:bCs/>
          <w:color w:val="00000A"/>
          <w:sz w:val="23"/>
          <w:szCs w:val="23"/>
          <w:highlight w:val="white"/>
          <w:lang w:val="it-IT" w:eastAsia="zh-CN" w:bidi="ar-SA"/>
        </w:rPr>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both"/>
        <w:textAlignment w:val="baseline"/>
        <w:rPr>
          <w:b w:val="false"/>
          <w:bCs w:val="false"/>
          <w:sz w:val="23"/>
          <w:szCs w:val="23"/>
        </w:rPr>
      </w:pPr>
      <w:r>
        <w:rPr>
          <w:rStyle w:val="Carpredefinitoparagrafo"/>
          <w:b w:val="false"/>
          <w:bCs w:val="false"/>
          <w:sz w:val="23"/>
          <w:szCs w:val="23"/>
          <w:highlight w:val="white"/>
        </w:rPr>
        <w:t xml:space="preserve">Prestazione  </w:t>
      </w:r>
      <w:r>
        <w:rPr>
          <w:b w:val="false"/>
          <w:bCs w:val="false"/>
          <w:sz w:val="23"/>
          <w:szCs w:val="23"/>
        </w:rPr>
        <w:t xml:space="preserve"> tempo prolungato complessive n. ore 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sz w:val="23"/>
          <w:szCs w:val="23"/>
        </w:rPr>
      </w:pPr>
      <w:r>
        <w:rPr>
          <w:sz w:val="23"/>
          <w:szCs w:val="23"/>
        </w:rPr>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both"/>
        <w:textAlignment w:val="baseline"/>
        <w:rPr>
          <w:rFonts w:eastAsia="Tahoma" w:cs="Tahoma"/>
          <w:b w:val="false"/>
          <w:bCs w:val="false"/>
          <w:sz w:val="23"/>
          <w:szCs w:val="23"/>
          <w:highlight w:val="white"/>
          <w:u w:val="none"/>
        </w:rPr>
      </w:pPr>
      <w:bookmarkEnd w:id="30"/>
      <w:r>
        <w:rPr>
          <w:rStyle w:val="Carpredefinitoparagrafo"/>
          <w:rFonts w:eastAsia="Tahoma" w:cs="Tahoma"/>
          <w:b w:val="false"/>
          <w:bCs w:val="false"/>
          <w:sz w:val="23"/>
          <w:szCs w:val="23"/>
          <w:highlight w:val="white"/>
          <w:u w:val="none"/>
        </w:rPr>
        <w:t xml:space="preserve">Prestazione  </w:t>
      </w:r>
      <w:r>
        <w:rPr>
          <w:rFonts w:eastAsia="Tahoma" w:cs="Tahoma"/>
          <w:b w:val="false"/>
          <w:bCs w:val="false"/>
          <w:sz w:val="23"/>
          <w:szCs w:val="23"/>
          <w:highlight w:val="white"/>
          <w:u w:val="none"/>
        </w:rPr>
        <w:t xml:space="preserve"> tempo prolungato complessive n. ore 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both"/>
        <w:textAlignment w:val="baseline"/>
        <w:rPr>
          <w:b w:val="false"/>
          <w:bCs w:val="false"/>
          <w:sz w:val="23"/>
          <w:szCs w:val="23"/>
        </w:rPr>
      </w:pPr>
      <w:r>
        <w:rPr>
          <w:b w:val="false"/>
          <w:bCs w:val="false"/>
          <w:sz w:val="23"/>
          <w:szCs w:val="23"/>
        </w:rPr>
      </w:r>
    </w:p>
    <w:p>
      <w:pPr>
        <w:pStyle w:val="Normal"/>
        <w:ind w:left="0" w:right="0" w:hanging="0"/>
        <w:jc w:val="both"/>
        <w:rPr>
          <w:rStyle w:val="Carpredefinitoparagrafo"/>
          <w:b w:val="false"/>
          <w:bCs w:val="false"/>
          <w:color w:val="00000A"/>
          <w:sz w:val="23"/>
          <w:szCs w:val="23"/>
          <w:highlight w:val="white"/>
        </w:rPr>
      </w:pPr>
      <w:r>
        <w:rPr>
          <w:color w:val="00000A"/>
          <w:sz w:val="23"/>
          <w:szCs w:val="23"/>
        </w:rPr>
        <w:t xml:space="preserve">- sostegni educativi per bambini con disabilità: servizi prestati </w:t>
      </w:r>
      <w:r>
        <w:rPr>
          <w:rStyle w:val="Carpredefinitoparagrafo"/>
          <w:b/>
          <w:bCs/>
          <w:color w:val="00000A"/>
          <w:sz w:val="23"/>
          <w:szCs w:val="23"/>
          <w:highlight w:val="white"/>
        </w:rPr>
        <w:t>a favore di Enti Pubblici o soggetti privati</w:t>
      </w:r>
      <w:r>
        <w:rPr>
          <w:color w:val="00000A"/>
          <w:sz w:val="23"/>
          <w:szCs w:val="23"/>
        </w:rPr>
        <w:t xml:space="preserve"> di funzionamento dei nidi o scuole infanzia con un'esperienza minima del personale di ore documentate/attestate, </w:t>
      </w:r>
      <w:r>
        <w:rPr>
          <w:rStyle w:val="Carpredefinitoparagrafo"/>
          <w:b w:val="false"/>
          <w:bCs w:val="false"/>
          <w:color w:val="00000A"/>
          <w:sz w:val="23"/>
          <w:szCs w:val="23"/>
          <w:highlight w:val="white"/>
        </w:rPr>
        <w:t>almeno pari a quanto indicato per ciascun Lotto di partecipazione (contrassegnare il Lotto di interesse), come segue:</w:t>
      </w:r>
    </w:p>
    <w:p>
      <w:pPr>
        <w:pStyle w:val="Normal"/>
        <w:ind w:left="0" w:right="0" w:hanging="0"/>
        <w:jc w:val="both"/>
        <w:rPr>
          <w:b w:val="false"/>
          <w:bCs w:val="false"/>
          <w:sz w:val="23"/>
          <w:szCs w:val="23"/>
          <w:highlight w:val="white"/>
        </w:rPr>
      </w:pPr>
      <w:r>
        <w:rPr>
          <w:b w:val="false"/>
          <w:bCs w:val="false"/>
          <w:sz w:val="23"/>
          <w:szCs w:val="23"/>
          <w:highlight w:val="white"/>
        </w:rPr>
      </w:r>
    </w:p>
    <w:p>
      <w:pPr>
        <w:pStyle w:val="Normal"/>
        <w:ind w:left="0" w:right="0" w:hanging="0"/>
        <w:jc w:val="left"/>
        <w:rPr>
          <w:b w:val="false"/>
          <w:bCs w:val="false"/>
          <w:sz w:val="23"/>
          <w:szCs w:val="23"/>
          <w:highlight w:val="white"/>
        </w:rPr>
      </w:pPr>
      <w:r>
        <w:rPr>
          <w:b w:val="false"/>
          <w:bCs w:val="false"/>
          <w:sz w:val="23"/>
          <w:szCs w:val="23"/>
          <w:highlight w:val="white"/>
        </w:rPr>
      </w:r>
    </w:p>
    <w:p>
      <w:pPr>
        <w:pStyle w:val="Corpodeltesto"/>
        <w:numPr>
          <w:ilvl w:val="0"/>
          <w:numId w:val="6"/>
        </w:numPr>
        <w:jc w:val="both"/>
        <w:rPr>
          <w:rStyle w:val="Carpredefinitoparagrafo"/>
          <w:b/>
          <w:bCs/>
          <w:color w:val="000000"/>
          <w:sz w:val="23"/>
          <w:szCs w:val="23"/>
          <w:u w:val="none"/>
          <w:shd w:fill="FFFFFF" w:val="clear"/>
        </w:rPr>
      </w:pPr>
      <w:r>
        <w:rPr>
          <w:rStyle w:val="Carpredefinitoparagrafo"/>
          <w:b w:val="false"/>
          <w:bCs w:val="false"/>
          <w:sz w:val="23"/>
          <w:szCs w:val="23"/>
          <w:u w:val="none"/>
          <w:shd w:fill="FFFFFF" w:val="clear"/>
        </w:rPr>
        <w:t xml:space="preserve"> </w:t>
      </w:r>
      <w:r>
        <w:rPr>
          <w:rStyle w:val="Carpredefinitoparagrafo"/>
          <w:b w:val="false"/>
          <w:bCs w:val="false"/>
          <w:sz w:val="23"/>
          <w:szCs w:val="23"/>
          <w:u w:val="none"/>
          <w:shd w:fill="FFFFFF" w:val="clear"/>
        </w:rPr>
        <w:t xml:space="preserve">per la partecipazione al Lotto 1 – Comune di Casalgrande </w:t>
      </w:r>
      <w:r>
        <w:rPr>
          <w:rStyle w:val="Carpredefinitoparagrafo"/>
          <w:b/>
          <w:bCs/>
          <w:color w:val="000000"/>
          <w:sz w:val="23"/>
          <w:szCs w:val="23"/>
          <w:highlight w:val="white"/>
          <w:u w:val="none"/>
          <w:shd w:fill="FFFFFF" w:val="clear"/>
        </w:rPr>
        <w:t>Es</w:t>
      </w:r>
      <w:r>
        <w:rPr>
          <w:rStyle w:val="Carpredefinitoparagrafo"/>
          <w:b/>
          <w:bCs/>
          <w:color w:val="00000A"/>
          <w:sz w:val="23"/>
          <w:szCs w:val="23"/>
          <w:highlight w:val="white"/>
          <w:u w:val="none"/>
          <w:shd w:fill="FFFFFF" w:val="clear"/>
        </w:rPr>
        <w:t>perienza minima del personale  documentate/attestate 1.600</w:t>
      </w:r>
      <w:r>
        <w:rPr>
          <w:rStyle w:val="Carpredefinitoparagrafo"/>
          <w:b/>
          <w:bCs/>
          <w:color w:val="000000"/>
          <w:sz w:val="23"/>
          <w:szCs w:val="23"/>
          <w:u w:val="none"/>
          <w:shd w:fill="FFFFFF" w:val="clear"/>
        </w:rPr>
        <w:t>/ore di  sostegno per bambini disabile;</w:t>
      </w:r>
    </w:p>
    <w:p>
      <w:pPr>
        <w:pStyle w:val="Normal"/>
        <w:spacing w:lineRule="atLeast" w:line="340"/>
        <w:jc w:val="both"/>
        <w:rPr>
          <w:rFonts w:cs="Calibri Light"/>
          <w:b w:val="false"/>
          <w:bCs w:val="false"/>
          <w:sz w:val="23"/>
          <w:szCs w:val="23"/>
          <w:highlight w:val="white"/>
          <w:u w:val="single"/>
        </w:rPr>
      </w:pPr>
      <w:r>
        <w:rPr>
          <w:rFonts w:cs="Calibri Light"/>
          <w:b w:val="false"/>
          <w:bCs w:val="false"/>
          <w:sz w:val="23"/>
          <w:szCs w:val="23"/>
          <w:highlight w:val="white"/>
          <w:u w:val="single"/>
        </w:rPr>
      </w:r>
    </w:p>
    <w:p>
      <w:pPr>
        <w:pStyle w:val="Corpodeltesto"/>
        <w:widowControl w:val="false"/>
        <w:numPr>
          <w:ilvl w:val="0"/>
          <w:numId w:val="6"/>
        </w:numPr>
        <w:tabs>
          <w:tab w:val="left" w:pos="-14930" w:leader="none"/>
          <w:tab w:val="left" w:pos="-13938" w:leader="none"/>
          <w:tab w:val="left" w:pos="960" w:leader="none"/>
          <w:tab w:val="left" w:pos="2490" w:leader="none"/>
        </w:tabs>
        <w:spacing w:lineRule="atLeast" w:line="340"/>
        <w:jc w:val="both"/>
        <w:rPr>
          <w:rStyle w:val="Carpredefinitoparagrafo"/>
          <w:b/>
          <w:bCs/>
          <w:color w:val="000000"/>
          <w:sz w:val="23"/>
          <w:szCs w:val="23"/>
          <w:u w:val="none"/>
          <w:shd w:fill="FFFFFF" w:val="clear"/>
        </w:rPr>
      </w:pPr>
      <w:r>
        <w:rPr>
          <w:rStyle w:val="Carpredefinitoparagrafo"/>
          <w:b w:val="false"/>
          <w:bCs w:val="false"/>
          <w:color w:val="000000"/>
          <w:sz w:val="23"/>
          <w:szCs w:val="23"/>
          <w:u w:val="none"/>
          <w:shd w:fill="FFFFFF" w:val="clear"/>
        </w:rPr>
        <w:t xml:space="preserve"> </w:t>
      </w:r>
      <w:r>
        <w:rPr>
          <w:rStyle w:val="Carpredefinitoparagrafo"/>
          <w:b w:val="false"/>
          <w:bCs w:val="false"/>
          <w:color w:val="000000"/>
          <w:sz w:val="23"/>
          <w:szCs w:val="23"/>
          <w:u w:val="none"/>
          <w:shd w:fill="FFFFFF" w:val="clear"/>
        </w:rPr>
        <w:t xml:space="preserve">per la partecipazione al Lotto 2 – Comune  di Castellarano </w:t>
      </w:r>
      <w:r>
        <w:rPr>
          <w:rStyle w:val="Carpredefinitoparagrafo"/>
          <w:b/>
          <w:bCs/>
          <w:color w:val="000000"/>
          <w:sz w:val="23"/>
          <w:szCs w:val="23"/>
          <w:highlight w:val="white"/>
          <w:u w:val="none"/>
          <w:shd w:fill="FFFFFF" w:val="clear"/>
        </w:rPr>
        <w:t>Es</w:t>
      </w:r>
      <w:r>
        <w:rPr>
          <w:rStyle w:val="Carpredefinitoparagrafo"/>
          <w:b/>
          <w:bCs/>
          <w:color w:val="00000A"/>
          <w:sz w:val="23"/>
          <w:szCs w:val="23"/>
          <w:highlight w:val="white"/>
          <w:u w:val="none"/>
          <w:shd w:fill="FFFFFF" w:val="clear"/>
        </w:rPr>
        <w:t>perienza minima del personale documentate/attestate 2.100/</w:t>
      </w:r>
      <w:r>
        <w:rPr>
          <w:rStyle w:val="Carpredefinitoparagrafo"/>
          <w:b/>
          <w:bCs/>
          <w:color w:val="000000"/>
          <w:sz w:val="23"/>
          <w:szCs w:val="23"/>
          <w:u w:val="none"/>
          <w:shd w:fill="FFFFFF" w:val="clear"/>
        </w:rPr>
        <w:t>ore di  sostegno per bambini disabile;</w:t>
      </w:r>
    </w:p>
    <w:p>
      <w:pPr>
        <w:pStyle w:val="Corpodeltesto"/>
        <w:widowControl w:val="false"/>
        <w:tabs>
          <w:tab w:val="left" w:pos="-14930" w:leader="none"/>
          <w:tab w:val="left" w:pos="-13938" w:leader="none"/>
          <w:tab w:val="left" w:pos="960" w:leader="none"/>
          <w:tab w:val="left" w:pos="2490" w:leader="none"/>
        </w:tabs>
        <w:spacing w:lineRule="atLeast" w:line="340"/>
        <w:ind w:left="720" w:right="56" w:hanging="0"/>
        <w:jc w:val="both"/>
        <w:rPr>
          <w:b w:val="false"/>
          <w:bCs w:val="false"/>
          <w:color w:val="000000"/>
          <w:sz w:val="23"/>
          <w:szCs w:val="23"/>
          <w:highlight w:val="white"/>
          <w:u w:val="none"/>
        </w:rPr>
      </w:pPr>
      <w:r>
        <w:rPr>
          <w:b w:val="false"/>
          <w:bCs w:val="false"/>
          <w:color w:val="000000"/>
          <w:sz w:val="23"/>
          <w:szCs w:val="23"/>
          <w:highlight w:val="white"/>
          <w:u w:val="none"/>
        </w:rPr>
      </w:r>
    </w:p>
    <w:p>
      <w:pPr>
        <w:pStyle w:val="Corpodeltesto"/>
        <w:widowControl w:val="false"/>
        <w:numPr>
          <w:ilvl w:val="0"/>
          <w:numId w:val="6"/>
        </w:numPr>
        <w:tabs>
          <w:tab w:val="left" w:pos="-14930" w:leader="none"/>
          <w:tab w:val="left" w:pos="-13938" w:leader="none"/>
          <w:tab w:val="left" w:pos="960" w:leader="none"/>
          <w:tab w:val="left" w:pos="2490" w:leader="none"/>
        </w:tabs>
        <w:spacing w:lineRule="atLeast" w:line="340"/>
        <w:jc w:val="both"/>
        <w:rPr>
          <w:rStyle w:val="Carpredefinitoparagrafo"/>
          <w:b/>
          <w:bCs/>
          <w:color w:val="000000"/>
          <w:sz w:val="23"/>
          <w:szCs w:val="23"/>
          <w:u w:val="none"/>
          <w:shd w:fill="FFFFFF" w:val="clear"/>
        </w:rPr>
      </w:pPr>
      <w:r>
        <w:rPr>
          <w:rStyle w:val="Carpredefinitoparagrafo"/>
          <w:b w:val="false"/>
          <w:bCs w:val="false"/>
          <w:color w:val="000000"/>
          <w:sz w:val="23"/>
          <w:szCs w:val="23"/>
          <w:u w:val="none"/>
          <w:shd w:fill="FFFFFF" w:val="clear"/>
        </w:rPr>
        <w:t xml:space="preserve"> </w:t>
      </w:r>
      <w:r>
        <w:rPr>
          <w:rStyle w:val="Carpredefinitoparagrafo"/>
          <w:b w:val="false"/>
          <w:bCs w:val="false"/>
          <w:color w:val="000000"/>
          <w:sz w:val="23"/>
          <w:szCs w:val="23"/>
          <w:u w:val="none"/>
          <w:shd w:fill="FFFFFF" w:val="clear"/>
        </w:rPr>
        <w:t xml:space="preserve">per la partecipazione al Lotto 3 – Comune di Scandiano </w:t>
      </w:r>
      <w:r>
        <w:rPr>
          <w:rStyle w:val="Carpredefinitoparagrafo"/>
          <w:b/>
          <w:bCs/>
          <w:color w:val="000000"/>
          <w:sz w:val="23"/>
          <w:szCs w:val="23"/>
          <w:highlight w:val="white"/>
          <w:u w:val="none"/>
          <w:shd w:fill="FFFFFF" w:val="clear"/>
        </w:rPr>
        <w:t>Es</w:t>
      </w:r>
      <w:r>
        <w:rPr>
          <w:rStyle w:val="Carpredefinitoparagrafo"/>
          <w:b/>
          <w:bCs/>
          <w:color w:val="00000A"/>
          <w:sz w:val="23"/>
          <w:szCs w:val="23"/>
          <w:highlight w:val="white"/>
          <w:u w:val="none"/>
          <w:shd w:fill="FFFFFF" w:val="clear"/>
        </w:rPr>
        <w:t>perienza minima del personale  documentate/attestate 6.400</w:t>
      </w:r>
      <w:r>
        <w:rPr>
          <w:rStyle w:val="Carpredefinitoparagrafo"/>
          <w:b/>
          <w:bCs/>
          <w:color w:val="000000"/>
          <w:sz w:val="23"/>
          <w:szCs w:val="23"/>
          <w:u w:val="none"/>
          <w:shd w:fill="FFFFFF" w:val="clear"/>
        </w:rPr>
        <w:t>/ore di sostegno per bambini disabile.</w:t>
      </w:r>
    </w:p>
    <w:p>
      <w:pPr>
        <w:pStyle w:val="Corpodeltesto"/>
        <w:widowControl w:val="false"/>
        <w:tabs>
          <w:tab w:val="left" w:pos="-14930" w:leader="none"/>
          <w:tab w:val="left" w:pos="-13938" w:leader="none"/>
          <w:tab w:val="left" w:pos="960" w:leader="none"/>
          <w:tab w:val="left" w:pos="2490" w:leader="none"/>
        </w:tabs>
        <w:spacing w:lineRule="atLeast" w:line="340"/>
        <w:ind w:left="720" w:right="56" w:hanging="0"/>
        <w:jc w:val="both"/>
        <w:rPr>
          <w:b w:val="false"/>
          <w:bCs w:val="false"/>
          <w:color w:val="000000"/>
          <w:sz w:val="23"/>
          <w:szCs w:val="23"/>
          <w:highlight w:val="white"/>
          <w:u w:val="none"/>
        </w:rPr>
      </w:pPr>
      <w:r>
        <w:rPr>
          <w:b w:val="false"/>
          <w:bCs w:val="false"/>
          <w:color w:val="000000"/>
          <w:sz w:val="23"/>
          <w:szCs w:val="23"/>
          <w:highlight w:val="white"/>
          <w:u w:val="none"/>
        </w:rPr>
      </w:r>
    </w:p>
    <w:p>
      <w:pPr>
        <w:pStyle w:val="Normal"/>
        <w:spacing w:lineRule="atLeast" w:line="340"/>
        <w:ind w:left="720" w:right="0" w:hanging="0"/>
        <w:jc w:val="both"/>
        <w:rPr>
          <w:rStyle w:val="Carpredefinitoparagrafo"/>
          <w:rFonts w:cs="Calibri Light"/>
          <w:b w:val="false"/>
          <w:bCs w:val="false"/>
          <w:sz w:val="23"/>
          <w:szCs w:val="23"/>
          <w:u w:val="none"/>
          <w:shd w:fill="FFFFFF" w:val="clear"/>
        </w:rPr>
      </w:pPr>
      <w:r>
        <w:rPr>
          <w:rStyle w:val="Carpredefinitoparagrafo"/>
          <w:rFonts w:cs="Calibri Light"/>
          <w:b w:val="false"/>
          <w:bCs w:val="false"/>
          <w:sz w:val="23"/>
          <w:szCs w:val="23"/>
          <w:u w:val="none"/>
          <w:shd w:fill="FFFFFF" w:val="clear"/>
        </w:rPr>
        <w:t>(</w:t>
      </w:r>
      <w:r>
        <w:rPr>
          <w:rStyle w:val="Carpredefinitoparagrafo"/>
          <w:rFonts w:cs="Calibri Light"/>
          <w:b w:val="false"/>
          <w:bCs w:val="false"/>
          <w:sz w:val="23"/>
          <w:szCs w:val="23"/>
          <w:u w:val="single"/>
          <w:shd w:fill="FFFFFF" w:val="clear"/>
        </w:rPr>
        <w:t>In caso di partecipazione a più Lotti  il requisito dovrà essere dimostrato nella misura pari alla somma dei valori richiesti per i singoli Lotti cui si intende partecipare</w:t>
      </w:r>
      <w:r>
        <w:rPr>
          <w:rStyle w:val="Carpredefinitoparagrafo"/>
          <w:rFonts w:cs="Calibri Light"/>
          <w:b w:val="false"/>
          <w:bCs w:val="false"/>
          <w:sz w:val="23"/>
          <w:szCs w:val="23"/>
          <w:u w:val="none"/>
          <w:shd w:fill="FFFFFF" w:val="clear"/>
        </w:rPr>
        <w:t>)</w:t>
      </w:r>
    </w:p>
    <w:p>
      <w:pPr>
        <w:pStyle w:val="Normal"/>
        <w:spacing w:lineRule="atLeast" w:line="340"/>
        <w:jc w:val="left"/>
        <w:rPr>
          <w:b/>
          <w:sz w:val="23"/>
          <w:szCs w:val="23"/>
        </w:rPr>
      </w:pPr>
      <w:r>
        <w:rPr>
          <w:b/>
          <w:sz w:val="23"/>
          <w:szCs w:val="23"/>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Tahoma"/>
          <w:b/>
          <w:bCs/>
          <w:sz w:val="23"/>
          <w:szCs w:val="23"/>
        </w:rPr>
      </w:pPr>
      <w:bookmarkStart w:id="32" w:name="__DdeLink__11616_192058556631"/>
      <w:r>
        <w:rPr>
          <w:rFonts w:eastAsia="Tahoma" w:cs="Tahoma"/>
          <w:b/>
          <w:bCs/>
          <w:sz w:val="23"/>
          <w:szCs w:val="23"/>
        </w:rPr>
        <w:t>indicare</w:t>
      </w:r>
      <w:bookmarkEnd w:id="32"/>
      <w:r>
        <w:rPr>
          <w:rFonts w:eastAsia="Tahoma" w:cs="Tahoma"/>
          <w:b/>
          <w:bCs/>
          <w:sz w:val="23"/>
          <w:szCs w:val="23"/>
        </w:rPr>
        <w:t>:</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color w:val="00000A"/>
          <w:sz w:val="23"/>
          <w:szCs w:val="23"/>
          <w:highlight w:val="white"/>
        </w:rPr>
      </w:pPr>
      <w:r>
        <w:rPr>
          <w:rFonts w:eastAsia="Tahoma" w:cs="Calibri Light"/>
          <w:bCs/>
          <w:color w:val="00000A"/>
          <w:sz w:val="23"/>
          <w:szCs w:val="23"/>
          <w:highlight w:val="white"/>
        </w:rPr>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b w:val="false"/>
          <w:bCs w:val="false"/>
          <w:sz w:val="23"/>
          <w:szCs w:val="23"/>
        </w:rPr>
      </w:pPr>
      <w:r>
        <w:rPr>
          <w:rStyle w:val="Carpredefinitoparagrafo"/>
          <w:b w:val="false"/>
          <w:bCs w:val="false"/>
          <w:sz w:val="23"/>
          <w:szCs w:val="23"/>
          <w:highlight w:val="white"/>
        </w:rPr>
        <w:t xml:space="preserve">Prestazione di </w:t>
      </w:r>
      <w:r>
        <w:rPr>
          <w:rStyle w:val="Carpredefinitoparagrafo"/>
          <w:b w:val="false"/>
          <w:bCs w:val="false"/>
          <w:color w:val="00000A"/>
          <w:sz w:val="23"/>
          <w:szCs w:val="23"/>
          <w:highlight w:val="white"/>
        </w:rPr>
        <w:t>sostegno educativo per bambini con disabilità</w:t>
      </w:r>
      <w:r>
        <w:rPr>
          <w:b w:val="false"/>
          <w:bCs w:val="false"/>
          <w:sz w:val="23"/>
          <w:szCs w:val="23"/>
        </w:rPr>
        <w:t xml:space="preserve">  complessive n. ore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highlight w:val="white"/>
          <w:lang w:val="it-IT" w:eastAsia="zh-CN" w:bidi="ar-SA"/>
        </w:rPr>
      </w:pPr>
      <w:r>
        <w:rPr>
          <w:rFonts w:eastAsia="Tahoma" w:cs="Calibri Light"/>
          <w:bCs/>
          <w:color w:val="00000A"/>
          <w:sz w:val="23"/>
          <w:szCs w:val="23"/>
          <w:highlight w:val="white"/>
          <w:lang w:val="it-IT" w:eastAsia="zh-CN" w:bidi="ar-SA"/>
        </w:rPr>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 w:val="false"/>
          <w:bCs w:val="false"/>
          <w:color w:val="00000A"/>
          <w:sz w:val="23"/>
          <w:szCs w:val="23"/>
          <w:highlight w:val="white"/>
          <w:shd w:fill="FFFFFF" w:val="clear"/>
          <w:lang w:val="it-IT" w:eastAsia="zh-CN" w:bidi="ar-SA"/>
        </w:rPr>
      </w:pPr>
      <w:r>
        <w:rPr>
          <w:rStyle w:val="Carpredefinitoparagrafo"/>
          <w:rFonts w:eastAsia="Tahoma" w:cs="Calibri Light"/>
          <w:b w:val="false"/>
          <w:bCs w:val="false"/>
          <w:color w:val="00000A"/>
          <w:sz w:val="23"/>
          <w:szCs w:val="23"/>
          <w:highlight w:val="white"/>
          <w:shd w:fill="FFFFFF" w:val="clear"/>
          <w:lang w:val="it-IT" w:eastAsia="zh-CN" w:bidi="ar-SA"/>
        </w:rPr>
        <w:t>Prestazione di sostegno educativo per bambini con disabilità</w:t>
      </w:r>
      <w:r>
        <w:rPr>
          <w:rFonts w:eastAsia="Tahoma" w:cs="Calibri Light"/>
          <w:b w:val="false"/>
          <w:bCs w:val="false"/>
          <w:color w:val="00000A"/>
          <w:sz w:val="23"/>
          <w:szCs w:val="23"/>
          <w:highlight w:val="white"/>
          <w:shd w:fill="FFFFFF" w:val="clear"/>
          <w:lang w:val="it-IT" w:eastAsia="zh-CN" w:bidi="ar-SA"/>
        </w:rPr>
        <w:t xml:space="preserve">  complessive n. ore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 w:val="false"/>
          <w:bCs w:val="false"/>
          <w:color w:val="00000A"/>
          <w:sz w:val="23"/>
          <w:szCs w:val="23"/>
          <w:highlight w:val="white"/>
          <w:lang w:val="it-IT" w:eastAsia="zh-CN" w:bidi="ar-SA"/>
        </w:rPr>
      </w:pPr>
      <w:r>
        <w:rPr>
          <w:rFonts w:eastAsia="Tahoma" w:cs="Calibri Light"/>
          <w:b w:val="false"/>
          <w:bCs w:val="false"/>
          <w:color w:val="00000A"/>
          <w:sz w:val="23"/>
          <w:szCs w:val="23"/>
          <w:highlight w:val="white"/>
          <w:lang w:val="it-IT" w:eastAsia="zh-CN" w:bidi="ar-SA"/>
        </w:rPr>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 w:val="false"/>
          <w:bCs w:val="false"/>
          <w:color w:val="00000A"/>
          <w:sz w:val="23"/>
          <w:szCs w:val="23"/>
          <w:highlight w:val="white"/>
          <w:shd w:fill="FFFFFF" w:val="clear"/>
          <w:lang w:val="it-IT" w:eastAsia="zh-CN" w:bidi="ar-SA"/>
        </w:rPr>
      </w:pPr>
      <w:r>
        <w:rPr>
          <w:rStyle w:val="Carpredefinitoparagrafo"/>
          <w:rFonts w:eastAsia="Tahoma" w:cs="Calibri Light"/>
          <w:b w:val="false"/>
          <w:bCs w:val="false"/>
          <w:color w:val="00000A"/>
          <w:sz w:val="23"/>
          <w:szCs w:val="23"/>
          <w:highlight w:val="white"/>
          <w:shd w:fill="FFFFFF" w:val="clear"/>
          <w:lang w:val="it-IT" w:eastAsia="zh-CN" w:bidi="ar-SA"/>
        </w:rPr>
        <w:t>Prestazione di sostegno educativo per bambini con disabilità</w:t>
      </w:r>
      <w:r>
        <w:rPr>
          <w:rFonts w:eastAsia="Tahoma" w:cs="Calibri Light"/>
          <w:b w:val="false"/>
          <w:bCs w:val="false"/>
          <w:color w:val="00000A"/>
          <w:sz w:val="23"/>
          <w:szCs w:val="23"/>
          <w:highlight w:val="white"/>
          <w:shd w:fill="FFFFFF" w:val="clear"/>
          <w:lang w:val="it-IT" w:eastAsia="zh-CN" w:bidi="ar-SA"/>
        </w:rPr>
        <w:t xml:space="preserve">  complessive n. ore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 w:val="false"/>
          <w:bCs w:val="false"/>
          <w:color w:val="00000A"/>
          <w:sz w:val="23"/>
          <w:szCs w:val="23"/>
          <w:highlight w:val="white"/>
          <w:lang w:val="it-IT" w:eastAsia="zh-CN" w:bidi="ar-SA"/>
        </w:rPr>
      </w:pPr>
      <w:r>
        <w:rPr>
          <w:rFonts w:eastAsia="Tahoma" w:cs="Calibri Light"/>
          <w:b w:val="false"/>
          <w:bCs w:val="false"/>
          <w:color w:val="00000A"/>
          <w:sz w:val="23"/>
          <w:szCs w:val="23"/>
          <w:highlight w:val="white"/>
          <w:lang w:val="it-IT" w:eastAsia="zh-CN" w:bidi="ar-SA"/>
        </w:rPr>
      </w:r>
    </w:p>
    <w:p>
      <w:pPr>
        <w:pStyle w:val="Normal"/>
        <w:widowControl w:val="false"/>
        <w:tabs>
          <w:tab w:val="left" w:pos="-14930" w:leader="none"/>
          <w:tab w:val="left" w:pos="-13938" w:leader="none"/>
          <w:tab w:val="left" w:pos="2490" w:leader="none"/>
        </w:tabs>
        <w:suppressAutoHyphens w:val="true"/>
        <w:bidi w:val="0"/>
        <w:spacing w:lineRule="atLeast" w:line="340" w:before="0" w:after="140"/>
        <w:ind w:left="964" w:right="0" w:hanging="964"/>
        <w:jc w:val="both"/>
        <w:textAlignment w:val="baseline"/>
        <w:rPr>
          <w:rFonts w:cs="Calibri Light"/>
          <w:b/>
          <w:bCs/>
          <w:sz w:val="23"/>
          <w:szCs w:val="23"/>
          <w:highlight w:val="white"/>
          <w:u w:val="none"/>
        </w:rPr>
      </w:pPr>
      <w:r>
        <w:rPr>
          <w:rStyle w:val="Carpredefinitoparagrafo"/>
          <w:rFonts w:eastAsia="Times New Roman" w:cs="Times New Roman"/>
          <w:b/>
          <w:bCs w:val="false"/>
          <w:i w:val="false"/>
          <w:iCs w:val="false"/>
          <w:color w:val="000000"/>
          <w:sz w:val="23"/>
          <w:szCs w:val="23"/>
          <w:highlight w:val="white"/>
          <w:u w:val="none"/>
          <w:lang w:eastAsia="it-IT" w:bidi="ar-SA"/>
        </w:rPr>
        <w:t>Requisiti di capacità tecnico-professionale (Riferimento 8.3 lett e del Disciplinare di gara)</w:t>
      </w:r>
      <w:r>
        <w:rPr>
          <w:rFonts w:cs="Calibri Light"/>
          <w:b/>
          <w:bCs/>
          <w:sz w:val="23"/>
          <w:szCs w:val="23"/>
          <w:highlight w:val="white"/>
          <w:u w:val="none"/>
        </w:rPr>
        <w:t>:</w:t>
      </w:r>
    </w:p>
    <w:p>
      <w:pPr>
        <w:pStyle w:val="Normal"/>
        <w:spacing w:lineRule="atLeast" w:line="340"/>
        <w:jc w:val="both"/>
        <w:rPr>
          <w:rStyle w:val="Carpredefinitoparagrafo"/>
          <w:b w:val="false"/>
          <w:bCs w:val="false"/>
          <w:color w:val="00000A"/>
          <w:sz w:val="23"/>
          <w:szCs w:val="23"/>
          <w:highlight w:val="white"/>
        </w:rPr>
      </w:pPr>
      <w:r>
        <w:rPr>
          <w:b w:val="false"/>
          <w:bCs w:val="false"/>
          <w:sz w:val="23"/>
          <w:szCs w:val="23"/>
        </w:rPr>
        <w:t>- di avere, o di impegnarsi a</w:t>
      </w:r>
      <w:r>
        <w:rPr>
          <w:color w:val="00000A"/>
          <w:sz w:val="23"/>
          <w:szCs w:val="23"/>
        </w:rPr>
        <w:t>d avere, al momento dell'avvio dei servizi previsti dal presente appalto, un numero di dipendenti sufficiente in grado di garantire l’esecuzione delle prestazioni richieste</w:t>
      </w:r>
      <w:r>
        <w:rPr>
          <w:b w:val="false"/>
          <w:bCs w:val="false"/>
          <w:color w:val="00000A"/>
          <w:sz w:val="23"/>
          <w:szCs w:val="23"/>
        </w:rPr>
        <w:t xml:space="preserve">, con qualifica idonea  relativamente al personale richiesto per tempo prolungato e di sostegno di cui all’art 3 e 7 del Capitolato Speciale </w:t>
      </w:r>
      <w:r>
        <w:rPr>
          <w:rStyle w:val="Carpredefinitoparagrafo"/>
          <w:b w:val="false"/>
          <w:bCs w:val="false"/>
          <w:color w:val="00000A"/>
          <w:sz w:val="23"/>
          <w:szCs w:val="23"/>
          <w:highlight w:val="white"/>
        </w:rPr>
        <w:t xml:space="preserve"> come segue:</w:t>
      </w:r>
    </w:p>
    <w:p>
      <w:pPr>
        <w:pStyle w:val="Normal"/>
        <w:spacing w:lineRule="atLeast" w:line="340"/>
        <w:jc w:val="both"/>
        <w:rPr>
          <w:b w:val="false"/>
          <w:bCs w:val="false"/>
          <w:color w:val="00000A"/>
          <w:sz w:val="23"/>
          <w:szCs w:val="23"/>
          <w:highlight w:val="white"/>
        </w:rPr>
      </w:pPr>
      <w:r>
        <w:rPr>
          <w:b w:val="false"/>
          <w:bCs w:val="false"/>
          <w:color w:val="00000A"/>
          <w:sz w:val="23"/>
          <w:szCs w:val="23"/>
          <w:highlight w:val="white"/>
        </w:rPr>
      </w:r>
    </w:p>
    <w:p>
      <w:pPr>
        <w:pStyle w:val="Corpodeltesto"/>
        <w:widowControl/>
        <w:suppressAutoHyphens w:val="true"/>
        <w:bidi w:val="0"/>
        <w:spacing w:lineRule="auto" w:line="288" w:before="0" w:after="140"/>
        <w:ind w:left="567" w:right="0" w:hanging="0"/>
        <w:jc w:val="both"/>
        <w:textAlignment w:val="baseline"/>
        <w:rPr>
          <w:rStyle w:val="Carpredefinitoparagrafo"/>
          <w:b/>
          <w:bCs/>
          <w:color w:val="00000A"/>
          <w:sz w:val="23"/>
          <w:szCs w:val="23"/>
          <w:highlight w:val="white"/>
          <w:u w:val="none"/>
        </w:rPr>
      </w:pPr>
      <w:r>
        <w:rPr>
          <w:rStyle w:val="Carpredefinitoparagrafo"/>
          <w:b/>
          <w:bCs/>
          <w:color w:val="00000A"/>
          <w:sz w:val="23"/>
          <w:szCs w:val="23"/>
          <w:highlight w:val="white"/>
          <w:u w:val="none"/>
          <w:shd w:fill="FFFFFF" w:val="clear"/>
        </w:rPr>
        <w:t xml:space="preserve">a) </w:t>
      </w:r>
      <w:r>
        <w:rPr>
          <w:rStyle w:val="Carpredefinitoparagrafo"/>
          <w:rFonts w:cs="Times New Roman"/>
          <w:b/>
          <w:bCs/>
          <w:color w:val="00000A"/>
          <w:sz w:val="23"/>
          <w:szCs w:val="23"/>
          <w:highlight w:val="white"/>
          <w:u w:val="none"/>
        </w:rPr>
        <w:t xml:space="preserve">in base al Lotto di partecipazione </w:t>
      </w:r>
      <w:r>
        <w:rPr>
          <w:rStyle w:val="Carpredefinitoparagrafo"/>
          <w:rFonts w:cs="Times New Roman"/>
          <w:b w:val="false"/>
          <w:bCs w:val="false"/>
          <w:color w:val="00000A"/>
          <w:sz w:val="23"/>
          <w:szCs w:val="23"/>
          <w:highlight w:val="white"/>
          <w:u w:val="none"/>
          <w:shd w:fill="FFFFFF" w:val="clear"/>
        </w:rPr>
        <w:t>di avere, o di impegnarsi a</w:t>
      </w:r>
      <w:r>
        <w:rPr>
          <w:rStyle w:val="Carpredefinitoparagrafo"/>
          <w:rFonts w:cs="Times New Roman"/>
          <w:b w:val="false"/>
          <w:bCs w:val="false"/>
          <w:color w:val="00000A"/>
          <w:sz w:val="23"/>
          <w:szCs w:val="23"/>
          <w:highlight w:val="white"/>
          <w:u w:val="none"/>
        </w:rPr>
        <w:t xml:space="preserve">d avere, al momento dell'avvio dei servizi previsti dal presente appalto </w:t>
      </w:r>
      <w:r>
        <w:rPr>
          <w:rStyle w:val="Carpredefinitoparagrafo"/>
          <w:b/>
          <w:bCs/>
          <w:color w:val="00000A"/>
          <w:sz w:val="23"/>
          <w:szCs w:val="23"/>
          <w:highlight w:val="white"/>
          <w:u w:val="none"/>
        </w:rPr>
        <w:t>contrassegnare e indicare il numero di personale -coordinatore (può essere anche unico nel caso di partecipazione a 2 o 3 lotti)</w:t>
      </w:r>
    </w:p>
    <w:p>
      <w:pPr>
        <w:pStyle w:val="Corpodeltesto"/>
        <w:widowControl/>
        <w:suppressAutoHyphens w:val="true"/>
        <w:bidi w:val="0"/>
        <w:spacing w:lineRule="auto" w:line="288" w:before="0" w:after="140"/>
        <w:ind w:left="567" w:right="0" w:hanging="0"/>
        <w:jc w:val="both"/>
        <w:textAlignment w:val="baseline"/>
        <w:rPr/>
      </w:pPr>
      <w:r>
        <w:rPr/>
      </w:r>
    </w:p>
    <w:p>
      <w:pPr>
        <w:pStyle w:val="Corpodeltesto"/>
        <w:widowControl w:val="false"/>
        <w:numPr>
          <w:ilvl w:val="0"/>
          <w:numId w:val="6"/>
        </w:numPr>
        <w:tabs>
          <w:tab w:val="left" w:pos="-14930" w:leader="none"/>
          <w:tab w:val="left" w:pos="-13938" w:leader="none"/>
          <w:tab w:val="left" w:pos="960" w:leader="none"/>
          <w:tab w:val="left" w:pos="2490" w:leader="none"/>
        </w:tabs>
        <w:suppressAutoHyphens w:val="true"/>
        <w:bidi w:val="0"/>
        <w:spacing w:lineRule="atLeast" w:line="340" w:before="0" w:after="140"/>
        <w:jc w:val="both"/>
        <w:textAlignment w:val="baseline"/>
        <w:rPr>
          <w:color w:val="00000A"/>
          <w:sz w:val="23"/>
          <w:szCs w:val="23"/>
          <w:u w:val="none"/>
        </w:rPr>
      </w:pPr>
      <w:r>
        <w:rPr>
          <w:color w:val="00000A"/>
          <w:sz w:val="23"/>
          <w:szCs w:val="23"/>
          <w:u w:val="single"/>
        </w:rPr>
        <w:t xml:space="preserve"> </w:t>
      </w:r>
      <w:r>
        <w:rPr>
          <w:color w:val="00000A"/>
          <w:sz w:val="23"/>
          <w:szCs w:val="23"/>
          <w:u w:val="single"/>
        </w:rPr>
        <w:t>n.___ coordinatore responsabile</w:t>
      </w:r>
      <w:r>
        <w:rPr>
          <w:color w:val="00000A"/>
          <w:sz w:val="23"/>
          <w:szCs w:val="23"/>
          <w:u w:val="none"/>
        </w:rPr>
        <w:t xml:space="preserve"> dell’organizzazione dei servizi richiesti con adeguata esperienza almeno 5 anni nel ruolo di coordinatore </w:t>
      </w:r>
    </w:p>
    <w:p>
      <w:pPr>
        <w:pStyle w:val="Corpodeltesto"/>
        <w:widowControl/>
        <w:suppressAutoHyphens w:val="true"/>
        <w:bidi w:val="0"/>
        <w:spacing w:lineRule="auto" w:line="288" w:before="0" w:after="140"/>
        <w:ind w:left="340" w:right="0" w:hanging="340"/>
        <w:jc w:val="both"/>
        <w:textAlignment w:val="baseline"/>
        <w:rPr>
          <w:rFonts w:cs="Times New Roman"/>
          <w:b/>
          <w:bCs/>
          <w:color w:val="00000A"/>
          <w:sz w:val="23"/>
          <w:szCs w:val="23"/>
          <w:highlight w:val="white"/>
        </w:rPr>
      </w:pPr>
      <w:r>
        <w:rPr>
          <w:rFonts w:cs="Times New Roman"/>
          <w:b/>
          <w:bCs/>
          <w:color w:val="00000A"/>
          <w:sz w:val="23"/>
          <w:szCs w:val="23"/>
          <w:highlight w:val="white"/>
        </w:rPr>
      </w:r>
    </w:p>
    <w:p>
      <w:pPr>
        <w:pStyle w:val="Corpodeltesto"/>
        <w:widowControl/>
        <w:suppressAutoHyphens w:val="true"/>
        <w:bidi w:val="0"/>
        <w:spacing w:lineRule="auto" w:line="288" w:before="0" w:after="140"/>
        <w:ind w:left="567" w:right="0" w:hanging="0"/>
        <w:jc w:val="both"/>
        <w:textAlignment w:val="baseline"/>
        <w:rPr>
          <w:rStyle w:val="Carpredefinitoparagrafo"/>
          <w:rFonts w:cs="Times New Roman"/>
          <w:b w:val="false"/>
          <w:bCs w:val="false"/>
          <w:color w:val="00000A"/>
          <w:sz w:val="23"/>
          <w:szCs w:val="23"/>
          <w:highlight w:val="white"/>
          <w:u w:val="none"/>
        </w:rPr>
      </w:pPr>
      <w:r>
        <w:rPr>
          <w:rStyle w:val="Carpredefinitoparagrafo"/>
          <w:rFonts w:cs="Times New Roman"/>
          <w:b/>
          <w:bCs/>
          <w:color w:val="00000A"/>
          <w:sz w:val="23"/>
          <w:szCs w:val="23"/>
          <w:highlight w:val="white"/>
          <w:u w:val="none"/>
        </w:rPr>
        <w:t xml:space="preserve">b)  in base al Lotto di partecipazione </w:t>
      </w:r>
      <w:r>
        <w:rPr>
          <w:rStyle w:val="Carpredefinitoparagrafo"/>
          <w:rFonts w:cs="Times New Roman"/>
          <w:b/>
          <w:bCs/>
          <w:color w:val="00000A"/>
          <w:sz w:val="23"/>
          <w:szCs w:val="23"/>
          <w:highlight w:val="white"/>
          <w:u w:val="none"/>
        </w:rPr>
        <w:t>requisiti personale tempo prolungato e personale di sostegno</w:t>
      </w:r>
      <w:r>
        <w:rPr>
          <w:rStyle w:val="Carpredefinitoparagrafo"/>
          <w:rFonts w:cs="Times New Roman"/>
          <w:b/>
          <w:bCs/>
          <w:color w:val="00000A"/>
          <w:sz w:val="23"/>
          <w:szCs w:val="23"/>
          <w:highlight w:val="white"/>
          <w:u w:val="none"/>
        </w:rPr>
        <w:t xml:space="preserve"> </w:t>
      </w:r>
      <w:r>
        <w:rPr>
          <w:rStyle w:val="Carpredefinitoparagrafo"/>
          <w:rFonts w:cs="Times New Roman"/>
          <w:b w:val="false"/>
          <w:bCs w:val="false"/>
          <w:color w:val="00000A"/>
          <w:sz w:val="23"/>
          <w:szCs w:val="23"/>
          <w:highlight w:val="white"/>
          <w:u w:val="none"/>
          <w:shd w:fill="FFFFFF" w:val="clear"/>
        </w:rPr>
        <w:t>di avere, o di impegnarsi a</w:t>
      </w:r>
      <w:r>
        <w:rPr>
          <w:rStyle w:val="Carpredefinitoparagrafo"/>
          <w:rFonts w:cs="Times New Roman"/>
          <w:b w:val="false"/>
          <w:bCs w:val="false"/>
          <w:color w:val="00000A"/>
          <w:sz w:val="23"/>
          <w:szCs w:val="23"/>
          <w:highlight w:val="white"/>
          <w:u w:val="none"/>
        </w:rPr>
        <w:t>d avere, al momento dell'avvio dei servizi previsti dal presente appalto,</w:t>
      </w:r>
    </w:p>
    <w:p>
      <w:pPr>
        <w:pStyle w:val="Corpodeltesto"/>
        <w:widowControl/>
        <w:suppressAutoHyphens w:val="true"/>
        <w:bidi w:val="0"/>
        <w:spacing w:lineRule="auto" w:line="288" w:before="0" w:after="140"/>
        <w:ind w:left="567" w:right="0" w:hanging="0"/>
        <w:jc w:val="both"/>
        <w:textAlignment w:val="baseline"/>
        <w:rPr>
          <w:rStyle w:val="Carpredefinitoparagrafo"/>
          <w:rFonts w:cs="Times New Roman"/>
          <w:b w:val="false"/>
          <w:bCs w:val="false"/>
          <w:color w:val="00000A"/>
          <w:sz w:val="23"/>
          <w:szCs w:val="23"/>
          <w:highlight w:val="white"/>
          <w:u w:val="none"/>
        </w:rPr>
      </w:pPr>
      <w:r>
        <w:rPr>
          <w:color w:val="00000A"/>
          <w:sz w:val="23"/>
          <w:szCs w:val="23"/>
          <w:u w:val="single"/>
        </w:rPr>
        <w:t>Educatori con qualifica idonea</w:t>
      </w:r>
      <w:r>
        <w:rPr>
          <w:color w:val="00000A"/>
          <w:sz w:val="23"/>
          <w:szCs w:val="23"/>
          <w:u w:val="none"/>
        </w:rPr>
        <w:t xml:space="preserve">, in possesso </w:t>
      </w:r>
      <w:r>
        <w:rPr>
          <w:rFonts w:cs="Times New Roman"/>
          <w:color w:val="00000A"/>
          <w:sz w:val="23"/>
          <w:szCs w:val="23"/>
          <w:u w:val="none"/>
        </w:rPr>
        <w:t>dei titoli di studio previsti rispettivamente per i Nidi d’Infanzia (Delibera di Giunta Regionale 1564/2017) e per l’insegnamento nelle scuole dell’infanzia paritarie (normativa nazionale di riferimento), nonché apposita specifica  formazione / specializzazione richiesta al personale educativo di sostegno come previsto all’art 7 del capitolato Speciale, come s</w:t>
      </w:r>
      <w:r>
        <w:rPr>
          <w:rFonts w:cs="Times New Roman"/>
          <w:b w:val="false"/>
          <w:bCs w:val="false"/>
          <w:color w:val="00000A"/>
          <w:sz w:val="23"/>
          <w:szCs w:val="23"/>
          <w:u w:val="none"/>
        </w:rPr>
        <w:t xml:space="preserve">egue </w:t>
      </w:r>
      <w:r>
        <w:rPr>
          <w:rStyle w:val="Carpredefinitoparagrafo"/>
          <w:rFonts w:cs="Times New Roman"/>
          <w:b w:val="false"/>
          <w:bCs w:val="false"/>
          <w:color w:val="00000A"/>
          <w:sz w:val="23"/>
          <w:szCs w:val="23"/>
          <w:highlight w:val="white"/>
          <w:u w:val="none"/>
        </w:rPr>
        <w:t xml:space="preserve">(contrassegnare il Lotto di interesse): </w:t>
      </w:r>
    </w:p>
    <w:p>
      <w:pPr>
        <w:pStyle w:val="Corpodeltesto"/>
        <w:widowControl/>
        <w:suppressAutoHyphens w:val="true"/>
        <w:bidi w:val="0"/>
        <w:spacing w:lineRule="auto" w:line="288" w:before="0" w:after="140"/>
        <w:ind w:left="1440" w:right="0" w:hanging="0"/>
        <w:jc w:val="both"/>
        <w:textAlignment w:val="baseline"/>
        <w:rPr>
          <w:rFonts w:cs="Times New Roman"/>
          <w:b w:val="false"/>
          <w:bCs w:val="false"/>
          <w:color w:val="00000A"/>
          <w:sz w:val="23"/>
          <w:szCs w:val="23"/>
          <w:highlight w:val="white"/>
          <w:u w:val="none"/>
        </w:rPr>
      </w:pPr>
      <w:r>
        <w:rPr>
          <w:rFonts w:cs="Times New Roman"/>
          <w:b w:val="false"/>
          <w:bCs w:val="false"/>
          <w:color w:val="00000A"/>
          <w:sz w:val="23"/>
          <w:szCs w:val="23"/>
          <w:highlight w:val="white"/>
          <w:u w:val="none"/>
        </w:rPr>
      </w:r>
    </w:p>
    <w:p>
      <w:pPr>
        <w:pStyle w:val="Corpodeltesto"/>
        <w:numPr>
          <w:ilvl w:val="0"/>
          <w:numId w:val="6"/>
        </w:numPr>
        <w:jc w:val="both"/>
        <w:rPr>
          <w:rStyle w:val="Carpredefinitoparagrafo"/>
          <w:b w:val="false"/>
          <w:bCs w:val="false"/>
          <w:sz w:val="23"/>
          <w:szCs w:val="23"/>
          <w:u w:val="none"/>
          <w:shd w:fill="FFFFFF" w:val="clear"/>
        </w:rPr>
      </w:pPr>
      <w:r>
        <w:rPr>
          <w:rStyle w:val="Carpredefinitoparagrafo"/>
          <w:b w:val="false"/>
          <w:bCs w:val="false"/>
          <w:sz w:val="23"/>
          <w:szCs w:val="23"/>
          <w:u w:val="none"/>
          <w:shd w:fill="FFFFFF" w:val="clear"/>
        </w:rPr>
        <w:t xml:space="preserve"> </w:t>
      </w:r>
      <w:r>
        <w:rPr>
          <w:rStyle w:val="Carpredefinitoparagrafo"/>
          <w:b w:val="false"/>
          <w:bCs w:val="false"/>
          <w:sz w:val="23"/>
          <w:szCs w:val="23"/>
          <w:u w:val="none"/>
          <w:shd w:fill="FFFFFF" w:val="clear"/>
        </w:rPr>
        <w:t>per la partecipazione al Lotto 1 – Comune di Casalgrande</w:t>
      </w:r>
    </w:p>
    <w:tbl>
      <w:tblPr>
        <w:jc w:val="left"/>
        <w:tblInd w:w="769"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18" w:type="dxa"/>
          <w:bottom w:w="55" w:type="dxa"/>
          <w:right w:w="55" w:type="dxa"/>
        </w:tblCellMar>
      </w:tblPr>
      <w:tblGrid>
        <w:gridCol w:w="4391"/>
        <w:gridCol w:w="4275"/>
      </w:tblGrid>
      <w:tr>
        <w:trPr>
          <w:cantSplit w:val="false"/>
        </w:trPr>
        <w:tc>
          <w:tcPr>
            <w:tcW w:w="439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8" w:type="dxa"/>
            </w:tcMar>
          </w:tcPr>
          <w:p>
            <w:pPr>
              <w:pStyle w:val="Contenutotabella"/>
              <w:rPr>
                <w:rFonts w:cs="Times New Roman"/>
                <w:b w:val="false"/>
                <w:bCs w:val="false"/>
                <w:color w:val="00000A"/>
                <w:sz w:val="23"/>
                <w:szCs w:val="23"/>
              </w:rPr>
            </w:pPr>
            <w:r>
              <w:rPr>
                <w:b w:val="false"/>
                <w:bCs w:val="false"/>
                <w:sz w:val="23"/>
                <w:szCs w:val="23"/>
              </w:rPr>
              <w:t>Personale tempo prolungato</w:t>
            </w:r>
            <w:r>
              <w:rPr>
                <w:rFonts w:cs="Times New Roman"/>
                <w:b w:val="false"/>
                <w:bCs w:val="false"/>
                <w:color w:val="00000A"/>
                <w:sz w:val="23"/>
                <w:szCs w:val="23"/>
              </w:rPr>
              <w:t xml:space="preserve"> (per anno scolastico)</w:t>
            </w:r>
          </w:p>
          <w:p>
            <w:pPr>
              <w:pStyle w:val="Contenutotabella"/>
              <w:rPr>
                <w:b w:val="false"/>
                <w:bCs w:val="false"/>
                <w:sz w:val="23"/>
                <w:szCs w:val="23"/>
              </w:rPr>
            </w:pPr>
            <w:r>
              <w:rPr>
                <w:b w:val="false"/>
                <w:bCs w:val="false"/>
                <w:sz w:val="23"/>
                <w:szCs w:val="23"/>
              </w:rPr>
              <w:t xml:space="preserve">Educatori servizi Nidi/Scuole Infanzia </w:t>
            </w:r>
          </w:p>
        </w:tc>
        <w:tc>
          <w:tcPr>
            <w:tcW w:w="4275"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Contenutotabella"/>
              <w:rPr>
                <w:rFonts w:cs="Times New Roman"/>
                <w:b w:val="false"/>
                <w:bCs w:val="false"/>
                <w:color w:val="00000A"/>
                <w:sz w:val="23"/>
                <w:szCs w:val="23"/>
              </w:rPr>
            </w:pPr>
            <w:r>
              <w:rPr>
                <w:b w:val="false"/>
                <w:bCs w:val="false"/>
                <w:sz w:val="23"/>
                <w:szCs w:val="23"/>
              </w:rPr>
              <w:t xml:space="preserve">Personale di sostegno </w:t>
            </w:r>
            <w:r>
              <w:rPr>
                <w:rFonts w:cs="Times New Roman"/>
                <w:b w:val="false"/>
                <w:bCs w:val="false"/>
                <w:color w:val="00000A"/>
                <w:sz w:val="23"/>
                <w:szCs w:val="23"/>
              </w:rPr>
              <w:t>(per anno scolastico)</w:t>
            </w:r>
          </w:p>
          <w:p>
            <w:pPr>
              <w:pStyle w:val="Contenutotabella"/>
              <w:rPr>
                <w:b w:val="false"/>
                <w:bCs w:val="false"/>
                <w:sz w:val="23"/>
                <w:szCs w:val="23"/>
              </w:rPr>
            </w:pPr>
            <w:r>
              <w:rPr>
                <w:b w:val="false"/>
                <w:bCs w:val="false"/>
                <w:sz w:val="23"/>
                <w:szCs w:val="23"/>
              </w:rPr>
              <w:t>Educatori servizi Nidi/Scuole Infanzia</w:t>
            </w:r>
          </w:p>
        </w:tc>
      </w:tr>
      <w:tr>
        <w:trPr>
          <w:cantSplit w:val="false"/>
        </w:trPr>
        <w:tc>
          <w:tcPr>
            <w:tcW w:w="439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8" w:type="dxa"/>
            </w:tcMar>
          </w:tcPr>
          <w:p>
            <w:pPr>
              <w:pStyle w:val="Contenutotabella"/>
              <w:rPr>
                <w:b/>
                <w:bCs/>
                <w:sz w:val="23"/>
                <w:szCs w:val="23"/>
              </w:rPr>
            </w:pPr>
            <w:r>
              <w:rPr>
                <w:b/>
                <w:bCs/>
                <w:sz w:val="23"/>
                <w:szCs w:val="23"/>
              </w:rPr>
              <w:t>n. 4 educatori</w:t>
            </w:r>
          </w:p>
        </w:tc>
        <w:tc>
          <w:tcPr>
            <w:tcW w:w="4275"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Contenutotabella"/>
              <w:rPr>
                <w:b/>
                <w:bCs/>
                <w:sz w:val="23"/>
                <w:szCs w:val="23"/>
              </w:rPr>
            </w:pPr>
            <w:r>
              <w:rPr>
                <w:b/>
                <w:bCs/>
                <w:sz w:val="23"/>
                <w:szCs w:val="23"/>
              </w:rPr>
              <w:t>n. 3 educatori</w:t>
            </w:r>
          </w:p>
        </w:tc>
      </w:tr>
    </w:tbl>
    <w:p>
      <w:pPr>
        <w:pStyle w:val="Corpodeltesto"/>
        <w:jc w:val="left"/>
        <w:rPr>
          <w:rFonts w:cs="Calibri Light"/>
          <w:b w:val="false"/>
          <w:bCs w:val="false"/>
          <w:sz w:val="23"/>
          <w:szCs w:val="23"/>
          <w:highlight w:val="white"/>
          <w:u w:val="single"/>
        </w:rPr>
      </w:pPr>
      <w:r>
        <w:rPr>
          <w:rFonts w:cs="Calibri Light"/>
          <w:b w:val="false"/>
          <w:bCs w:val="false"/>
          <w:sz w:val="23"/>
          <w:szCs w:val="23"/>
          <w:highlight w:val="white"/>
          <w:u w:val="single"/>
        </w:rPr>
      </w:r>
    </w:p>
    <w:p>
      <w:pPr>
        <w:pStyle w:val="Corpodeltesto"/>
        <w:widowControl w:val="false"/>
        <w:numPr>
          <w:ilvl w:val="0"/>
          <w:numId w:val="6"/>
        </w:numPr>
        <w:tabs>
          <w:tab w:val="left" w:pos="-14930" w:leader="none"/>
          <w:tab w:val="left" w:pos="-13938" w:leader="none"/>
          <w:tab w:val="left" w:pos="960" w:leader="none"/>
          <w:tab w:val="left" w:pos="2490" w:leader="none"/>
        </w:tabs>
        <w:spacing w:lineRule="atLeast" w:line="340"/>
        <w:jc w:val="both"/>
        <w:rPr>
          <w:rStyle w:val="Carpredefinitoparagrafo"/>
          <w:b w:val="false"/>
          <w:bCs w:val="false"/>
          <w:color w:val="000000"/>
          <w:sz w:val="23"/>
          <w:szCs w:val="23"/>
          <w:u w:val="none"/>
          <w:shd w:fill="FFFFFF" w:val="clear"/>
        </w:rPr>
      </w:pPr>
      <w:r>
        <w:rPr>
          <w:rStyle w:val="Carpredefinitoparagrafo"/>
          <w:b w:val="false"/>
          <w:bCs w:val="false"/>
          <w:color w:val="000000"/>
          <w:sz w:val="23"/>
          <w:szCs w:val="23"/>
          <w:u w:val="none"/>
          <w:shd w:fill="FFFFFF" w:val="clear"/>
        </w:rPr>
        <w:t xml:space="preserve"> </w:t>
      </w:r>
      <w:r>
        <w:rPr>
          <w:rStyle w:val="Carpredefinitoparagrafo"/>
          <w:b w:val="false"/>
          <w:bCs w:val="false"/>
          <w:color w:val="000000"/>
          <w:sz w:val="23"/>
          <w:szCs w:val="23"/>
          <w:u w:val="none"/>
          <w:shd w:fill="FFFFFF" w:val="clear"/>
        </w:rPr>
        <w:t>per la partecipazione al Lotto 2 – Comune  di Castellarano</w:t>
      </w:r>
    </w:p>
    <w:tbl>
      <w:tblPr>
        <w:jc w:val="left"/>
        <w:tblInd w:w="814"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18" w:type="dxa"/>
          <w:bottom w:w="55" w:type="dxa"/>
          <w:right w:w="55" w:type="dxa"/>
        </w:tblCellMar>
      </w:tblPr>
      <w:tblGrid>
        <w:gridCol w:w="4342"/>
        <w:gridCol w:w="4274"/>
      </w:tblGrid>
      <w:tr>
        <w:trPr>
          <w:cantSplit w:val="false"/>
        </w:trPr>
        <w:tc>
          <w:tcPr>
            <w:tcW w:w="434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8" w:type="dxa"/>
            </w:tcMar>
          </w:tcPr>
          <w:p>
            <w:pPr>
              <w:pStyle w:val="Contenutotabella"/>
              <w:rPr>
                <w:rFonts w:cs="Times New Roman"/>
                <w:b w:val="false"/>
                <w:bCs w:val="false"/>
                <w:color w:val="00000A"/>
                <w:sz w:val="23"/>
                <w:szCs w:val="23"/>
              </w:rPr>
            </w:pPr>
            <w:r>
              <w:rPr>
                <w:b w:val="false"/>
                <w:bCs w:val="false"/>
                <w:sz w:val="23"/>
                <w:szCs w:val="23"/>
              </w:rPr>
              <w:t>Personale tempo prolungato</w:t>
            </w:r>
            <w:r>
              <w:rPr>
                <w:rFonts w:cs="Times New Roman"/>
                <w:b w:val="false"/>
                <w:bCs w:val="false"/>
                <w:color w:val="00000A"/>
                <w:sz w:val="23"/>
                <w:szCs w:val="23"/>
              </w:rPr>
              <w:t xml:space="preserve"> (per anno scolastico)</w:t>
            </w:r>
          </w:p>
          <w:p>
            <w:pPr>
              <w:pStyle w:val="Contenutotabella"/>
              <w:rPr>
                <w:b w:val="false"/>
                <w:bCs w:val="false"/>
                <w:sz w:val="23"/>
                <w:szCs w:val="23"/>
              </w:rPr>
            </w:pPr>
            <w:r>
              <w:rPr>
                <w:b w:val="false"/>
                <w:bCs w:val="false"/>
                <w:sz w:val="23"/>
                <w:szCs w:val="23"/>
              </w:rPr>
              <w:t xml:space="preserve">Educatori servizi Nidi/Scuole Infanzia </w:t>
            </w:r>
          </w:p>
        </w:tc>
        <w:tc>
          <w:tcPr>
            <w:tcW w:w="4274"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Contenutotabella"/>
              <w:rPr>
                <w:rFonts w:cs="Times New Roman"/>
                <w:b w:val="false"/>
                <w:bCs w:val="false"/>
                <w:color w:val="00000A"/>
                <w:sz w:val="23"/>
                <w:szCs w:val="23"/>
              </w:rPr>
            </w:pPr>
            <w:r>
              <w:rPr>
                <w:b w:val="false"/>
                <w:bCs w:val="false"/>
                <w:sz w:val="23"/>
                <w:szCs w:val="23"/>
              </w:rPr>
              <w:t xml:space="preserve">Personale di sostegno </w:t>
            </w:r>
            <w:r>
              <w:rPr>
                <w:rFonts w:cs="Times New Roman"/>
                <w:b w:val="false"/>
                <w:bCs w:val="false"/>
                <w:color w:val="00000A"/>
                <w:sz w:val="23"/>
                <w:szCs w:val="23"/>
              </w:rPr>
              <w:t>(per anno scolastico)</w:t>
            </w:r>
          </w:p>
          <w:p>
            <w:pPr>
              <w:pStyle w:val="Contenutotabella"/>
              <w:rPr>
                <w:b w:val="false"/>
                <w:bCs w:val="false"/>
                <w:sz w:val="23"/>
                <w:szCs w:val="23"/>
              </w:rPr>
            </w:pPr>
            <w:r>
              <w:rPr>
                <w:b w:val="false"/>
                <w:bCs w:val="false"/>
                <w:sz w:val="23"/>
                <w:szCs w:val="23"/>
              </w:rPr>
              <w:t>Educatori servizi Nidi/Scuole Infanzia</w:t>
            </w:r>
          </w:p>
        </w:tc>
      </w:tr>
      <w:tr>
        <w:trPr>
          <w:trHeight w:val="420" w:hRule="atLeast"/>
          <w:cantSplit w:val="false"/>
        </w:trPr>
        <w:tc>
          <w:tcPr>
            <w:tcW w:w="434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8" w:type="dxa"/>
            </w:tcMar>
          </w:tcPr>
          <w:p>
            <w:pPr>
              <w:pStyle w:val="Contenutotabella"/>
              <w:rPr>
                <w:b/>
                <w:bCs/>
                <w:sz w:val="23"/>
                <w:szCs w:val="23"/>
              </w:rPr>
            </w:pPr>
            <w:r>
              <w:rPr>
                <w:b/>
                <w:bCs/>
                <w:sz w:val="23"/>
                <w:szCs w:val="23"/>
              </w:rPr>
              <w:t>n. 4 educatori</w:t>
            </w:r>
          </w:p>
        </w:tc>
        <w:tc>
          <w:tcPr>
            <w:tcW w:w="4274"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Contenutotabella"/>
              <w:rPr>
                <w:b/>
                <w:bCs/>
                <w:sz w:val="23"/>
                <w:szCs w:val="23"/>
              </w:rPr>
            </w:pPr>
            <w:r>
              <w:rPr>
                <w:b/>
                <w:bCs/>
                <w:sz w:val="23"/>
                <w:szCs w:val="23"/>
              </w:rPr>
              <w:t>n. 2 educatori</w:t>
            </w:r>
          </w:p>
        </w:tc>
      </w:tr>
    </w:tbl>
    <w:p>
      <w:pPr>
        <w:pStyle w:val="Corpodeltesto"/>
        <w:widowControl w:val="false"/>
        <w:tabs>
          <w:tab w:val="left" w:pos="-14930" w:leader="none"/>
          <w:tab w:val="left" w:pos="-13938" w:leader="none"/>
          <w:tab w:val="left" w:pos="960" w:leader="none"/>
          <w:tab w:val="left" w:pos="2490" w:leader="none"/>
        </w:tabs>
        <w:spacing w:lineRule="atLeast" w:line="340"/>
        <w:jc w:val="left"/>
        <w:rPr>
          <w:sz w:val="23"/>
          <w:szCs w:val="23"/>
        </w:rPr>
      </w:pPr>
      <w:r>
        <w:rPr>
          <w:sz w:val="23"/>
          <w:szCs w:val="23"/>
        </w:rPr>
      </w:r>
    </w:p>
    <w:p>
      <w:pPr>
        <w:pStyle w:val="Corpodeltesto"/>
        <w:widowControl w:val="false"/>
        <w:numPr>
          <w:ilvl w:val="0"/>
          <w:numId w:val="6"/>
        </w:numPr>
        <w:tabs>
          <w:tab w:val="left" w:pos="-14930" w:leader="none"/>
          <w:tab w:val="left" w:pos="-13938" w:leader="none"/>
          <w:tab w:val="left" w:pos="960" w:leader="none"/>
          <w:tab w:val="left" w:pos="2490" w:leader="none"/>
        </w:tabs>
        <w:spacing w:lineRule="atLeast" w:line="340"/>
        <w:jc w:val="both"/>
        <w:rPr>
          <w:rStyle w:val="Carpredefinitoparagrafo"/>
          <w:b w:val="false"/>
          <w:bCs w:val="false"/>
          <w:color w:val="000000"/>
          <w:sz w:val="23"/>
          <w:szCs w:val="23"/>
          <w:u w:val="none"/>
          <w:shd w:fill="FFFFFF" w:val="clear"/>
        </w:rPr>
      </w:pPr>
      <w:r>
        <w:rPr>
          <w:rStyle w:val="Carpredefinitoparagrafo"/>
          <w:b w:val="false"/>
          <w:bCs w:val="false"/>
          <w:color w:val="000000"/>
          <w:sz w:val="23"/>
          <w:szCs w:val="23"/>
          <w:u w:val="none"/>
          <w:shd w:fill="FFFFFF" w:val="clear"/>
        </w:rPr>
        <w:t xml:space="preserve"> </w:t>
      </w:r>
      <w:r>
        <w:rPr>
          <w:rStyle w:val="Carpredefinitoparagrafo"/>
          <w:b w:val="false"/>
          <w:bCs w:val="false"/>
          <w:color w:val="000000"/>
          <w:sz w:val="23"/>
          <w:szCs w:val="23"/>
          <w:u w:val="none"/>
          <w:shd w:fill="FFFFFF" w:val="clear"/>
        </w:rPr>
        <w:t>per la partecipazione al Lotto 3 – Comune di Scandiano</w:t>
      </w:r>
    </w:p>
    <w:tbl>
      <w:tblPr>
        <w:jc w:val="left"/>
        <w:tblInd w:w="792"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18" w:type="dxa"/>
          <w:bottom w:w="55" w:type="dxa"/>
          <w:right w:w="55" w:type="dxa"/>
        </w:tblCellMar>
      </w:tblPr>
      <w:tblGrid>
        <w:gridCol w:w="4366"/>
        <w:gridCol w:w="4300"/>
      </w:tblGrid>
      <w:tr>
        <w:trPr>
          <w:cantSplit w:val="false"/>
        </w:trPr>
        <w:tc>
          <w:tcPr>
            <w:tcW w:w="436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8" w:type="dxa"/>
            </w:tcMar>
          </w:tcPr>
          <w:p>
            <w:pPr>
              <w:pStyle w:val="Contenutotabella"/>
              <w:rPr>
                <w:rFonts w:cs="Times New Roman"/>
                <w:b w:val="false"/>
                <w:bCs w:val="false"/>
                <w:color w:val="00000A"/>
                <w:sz w:val="23"/>
                <w:szCs w:val="23"/>
              </w:rPr>
            </w:pPr>
            <w:r>
              <w:rPr>
                <w:b w:val="false"/>
                <w:bCs w:val="false"/>
                <w:sz w:val="23"/>
                <w:szCs w:val="23"/>
              </w:rPr>
              <w:t xml:space="preserve">Personale tempo prolungato </w:t>
            </w:r>
            <w:r>
              <w:rPr>
                <w:rFonts w:cs="Times New Roman"/>
                <w:b w:val="false"/>
                <w:bCs w:val="false"/>
                <w:color w:val="00000A"/>
                <w:sz w:val="23"/>
                <w:szCs w:val="23"/>
              </w:rPr>
              <w:t>(per anno scolastico)</w:t>
            </w:r>
          </w:p>
          <w:p>
            <w:pPr>
              <w:pStyle w:val="Contenutotabella"/>
              <w:rPr>
                <w:b w:val="false"/>
                <w:bCs w:val="false"/>
                <w:sz w:val="23"/>
                <w:szCs w:val="23"/>
              </w:rPr>
            </w:pPr>
            <w:r>
              <w:rPr>
                <w:b w:val="false"/>
                <w:bCs w:val="false"/>
                <w:sz w:val="23"/>
                <w:szCs w:val="23"/>
              </w:rPr>
              <w:t xml:space="preserve">Educatori servizi Nidi/Scuole Infanzia </w:t>
            </w:r>
          </w:p>
        </w:tc>
        <w:tc>
          <w:tcPr>
            <w:tcW w:w="430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Contenutotabella"/>
              <w:rPr>
                <w:rFonts w:cs="Times New Roman"/>
                <w:b w:val="false"/>
                <w:bCs w:val="false"/>
                <w:color w:val="00000A"/>
                <w:sz w:val="23"/>
                <w:szCs w:val="23"/>
              </w:rPr>
            </w:pPr>
            <w:r>
              <w:rPr>
                <w:b w:val="false"/>
                <w:bCs w:val="false"/>
                <w:sz w:val="23"/>
                <w:szCs w:val="23"/>
              </w:rPr>
              <w:t>Personale di sostegno</w:t>
            </w:r>
            <w:r>
              <w:rPr>
                <w:rFonts w:cs="Times New Roman"/>
                <w:b w:val="false"/>
                <w:bCs w:val="false"/>
                <w:color w:val="00000A"/>
                <w:sz w:val="23"/>
                <w:szCs w:val="23"/>
              </w:rPr>
              <w:t xml:space="preserve"> (per anno scolastico)</w:t>
            </w:r>
          </w:p>
          <w:p>
            <w:pPr>
              <w:pStyle w:val="Contenutotabella"/>
              <w:rPr>
                <w:b w:val="false"/>
                <w:bCs w:val="false"/>
                <w:sz w:val="23"/>
                <w:szCs w:val="23"/>
              </w:rPr>
            </w:pPr>
            <w:r>
              <w:rPr>
                <w:b w:val="false"/>
                <w:bCs w:val="false"/>
                <w:sz w:val="23"/>
                <w:szCs w:val="23"/>
              </w:rPr>
              <w:t>Educatori servizi Nidi/Scuole Infanzia</w:t>
            </w:r>
          </w:p>
        </w:tc>
      </w:tr>
      <w:tr>
        <w:trPr>
          <w:cantSplit w:val="false"/>
        </w:trPr>
        <w:tc>
          <w:tcPr>
            <w:tcW w:w="436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8" w:type="dxa"/>
            </w:tcMar>
          </w:tcPr>
          <w:p>
            <w:pPr>
              <w:pStyle w:val="Contenutotabella"/>
              <w:rPr>
                <w:b/>
                <w:bCs/>
                <w:sz w:val="23"/>
                <w:szCs w:val="23"/>
              </w:rPr>
            </w:pPr>
            <w:r>
              <w:rPr>
                <w:b/>
                <w:bCs/>
                <w:sz w:val="23"/>
                <w:szCs w:val="23"/>
              </w:rPr>
              <w:t>n. 8 educatori</w:t>
            </w:r>
          </w:p>
        </w:tc>
        <w:tc>
          <w:tcPr>
            <w:tcW w:w="430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Contenutotabella"/>
              <w:rPr>
                <w:b/>
                <w:bCs/>
                <w:sz w:val="23"/>
                <w:szCs w:val="23"/>
              </w:rPr>
            </w:pPr>
            <w:r>
              <w:rPr>
                <w:b/>
                <w:bCs/>
                <w:sz w:val="23"/>
                <w:szCs w:val="23"/>
              </w:rPr>
              <w:t xml:space="preserve">n. 4 educatori </w:t>
            </w:r>
          </w:p>
        </w:tc>
      </w:tr>
    </w:tbl>
    <w:p>
      <w:pPr>
        <w:pStyle w:val="Normal"/>
        <w:widowControl/>
        <w:tabs>
          <w:tab w:val="left" w:pos="-14760" w:leader="none"/>
          <w:tab w:val="left" w:pos="-13768" w:leader="none"/>
        </w:tabs>
        <w:suppressAutoHyphens w:val="false"/>
        <w:spacing w:lineRule="atLeast" w:line="340"/>
        <w:ind w:left="720" w:right="0" w:hanging="0"/>
        <w:jc w:val="both"/>
        <w:textAlignment w:val="auto"/>
        <w:rPr>
          <w:sz w:val="23"/>
          <w:szCs w:val="23"/>
        </w:rPr>
      </w:pPr>
      <w:r>
        <w:rPr>
          <w:sz w:val="23"/>
          <w:szCs w:val="23"/>
        </w:rPr>
      </w:r>
    </w:p>
    <w:p>
      <w:pPr>
        <w:pStyle w:val="Normal"/>
        <w:widowControl w:val="false"/>
        <w:tabs>
          <w:tab w:val="left" w:pos="-14930" w:leader="none"/>
          <w:tab w:val="left" w:pos="-13938" w:leader="none"/>
          <w:tab w:val="left" w:pos="2490" w:leader="none"/>
        </w:tabs>
        <w:suppressAutoHyphens w:val="true"/>
        <w:bidi w:val="0"/>
        <w:spacing w:lineRule="atLeast" w:line="340" w:before="0" w:after="140"/>
        <w:ind w:left="964" w:right="0" w:hanging="964"/>
        <w:jc w:val="left"/>
        <w:textAlignment w:val="baseline"/>
        <w:rPr>
          <w:rFonts w:eastAsia="Tahoma" w:cs="Tahoma"/>
          <w:b/>
          <w:i w:val="false"/>
          <w:iCs w:val="false"/>
          <w:color w:val="000000"/>
          <w:sz w:val="23"/>
          <w:szCs w:val="23"/>
          <w:u w:val="none"/>
        </w:rPr>
      </w:pPr>
      <w:r>
        <w:rPr>
          <w:rFonts w:eastAsia="Tahoma" w:cs="Tahoma"/>
          <w:b/>
          <w:i w:val="false"/>
          <w:iCs w:val="false"/>
          <w:color w:val="000000"/>
          <w:sz w:val="23"/>
          <w:szCs w:val="23"/>
          <w:u w:val="none"/>
        </w:rPr>
      </w:r>
    </w:p>
    <w:p>
      <w:pPr>
        <w:pStyle w:val="Normal"/>
        <w:widowControl w:val="false"/>
        <w:tabs>
          <w:tab w:val="left" w:pos="-14760" w:leader="none"/>
          <w:tab w:val="left" w:pos="-13768" w:leader="none"/>
        </w:tabs>
        <w:spacing w:lineRule="auto" w:line="276"/>
        <w:ind w:left="1020" w:right="0" w:hanging="0"/>
        <w:jc w:val="both"/>
        <w:rPr>
          <w:rFonts w:eastAsia="Tahoma" w:cs="Tahoma"/>
          <w:b/>
          <w:bCs/>
          <w:sz w:val="23"/>
          <w:szCs w:val="23"/>
        </w:rPr>
      </w:pPr>
      <w:r>
        <w:rPr>
          <w:rFonts w:eastAsia="Tahoma" w:cs="Tahoma"/>
          <w:b/>
          <w:bCs/>
          <w:sz w:val="23"/>
          <w:szCs w:val="23"/>
        </w:rPr>
        <w:t xml:space="preserve">Con riferimento ai requisiti oggetto di avvalimento sopra indicati dichiara: </w:t>
      </w:r>
    </w:p>
    <w:p>
      <w:pPr>
        <w:pStyle w:val="Normal"/>
        <w:widowControl w:val="false"/>
        <w:tabs>
          <w:tab w:val="left" w:pos="-31226" w:leader="none"/>
        </w:tabs>
        <w:ind w:left="454" w:right="0" w:hanging="0"/>
        <w:jc w:val="both"/>
        <w:rPr>
          <w:sz w:val="23"/>
          <w:szCs w:val="23"/>
        </w:rPr>
      </w:pPr>
      <w:r>
        <w:rPr>
          <w:sz w:val="23"/>
          <w:szCs w:val="23"/>
        </w:rPr>
      </w:r>
    </w:p>
    <w:p>
      <w:pPr>
        <w:pStyle w:val="Normal"/>
        <w:widowControl w:val="false"/>
        <w:numPr>
          <w:ilvl w:val="0"/>
          <w:numId w:val="3"/>
        </w:numPr>
        <w:tabs>
          <w:tab w:val="left" w:pos="-14760" w:leader="none"/>
          <w:tab w:val="left" w:pos="-13768" w:leader="none"/>
        </w:tabs>
        <w:ind w:left="1068" w:right="0" w:hanging="360"/>
        <w:jc w:val="both"/>
        <w:rPr>
          <w:sz w:val="23"/>
          <w:szCs w:val="23"/>
        </w:rPr>
      </w:pPr>
      <w:r>
        <w:rPr>
          <w:sz w:val="23"/>
          <w:szCs w:val="23"/>
        </w:rPr>
        <w:t>di obbligarsi verso il concorrente e verso il Comune committente a fornire le risorse sopra elencate e a mettere a disposizione le risorse necessarie per tutta la durata dell’appalto:</w:t>
      </w:r>
    </w:p>
    <w:p>
      <w:pPr>
        <w:pStyle w:val="Normal"/>
        <w:widowControl w:val="false"/>
        <w:tabs>
          <w:tab w:val="left" w:pos="-14476" w:leader="none"/>
          <w:tab w:val="left" w:pos="-13484" w:leader="none"/>
        </w:tabs>
        <w:suppressAutoHyphens w:val="true"/>
        <w:bidi w:val="0"/>
        <w:ind w:left="1304" w:right="0" w:hanging="0"/>
        <w:jc w:val="both"/>
        <w:textAlignment w:val="baseline"/>
        <w:rPr>
          <w:rFonts w:eastAsia="Tahoma" w:cs="Tahoma"/>
          <w:color w:val="000000"/>
          <w:sz w:val="23"/>
          <w:szCs w:val="23"/>
        </w:rPr>
      </w:pPr>
      <w:bookmarkStart w:id="33" w:name="__DdeLink__43111_91320773116"/>
      <w:r>
        <w:rPr>
          <w:rFonts w:eastAsia="Tahoma" w:cs="Tahoma"/>
          <w:sz w:val="23"/>
          <w:szCs w:val="23"/>
        </w:rPr>
        <w:t xml:space="preserve">     </w:t>
      </w:r>
      <w:bookmarkEnd w:id="33"/>
      <w:r>
        <w:rPr>
          <w:rFonts w:eastAsia="Tahoma" w:cs="Tahoma"/>
          <w:color w:val="000000"/>
          <w:sz w:val="23"/>
          <w:szCs w:val="23"/>
        </w:rPr>
        <w:t>[   ]Sì     [   ]No</w:t>
      </w:r>
    </w:p>
    <w:p>
      <w:pPr>
        <w:pStyle w:val="Normal"/>
        <w:widowControl w:val="false"/>
        <w:tabs>
          <w:tab w:val="left" w:pos="-14760" w:leader="none"/>
          <w:tab w:val="left" w:pos="-13768" w:leader="none"/>
        </w:tabs>
        <w:ind w:left="348" w:right="0" w:hanging="0"/>
        <w:jc w:val="both"/>
        <w:rPr>
          <w:rFonts w:eastAsia="Tahoma" w:cs="Tahoma"/>
          <w:sz w:val="23"/>
          <w:szCs w:val="23"/>
        </w:rPr>
      </w:pPr>
      <w:r>
        <w:rPr>
          <w:rFonts w:eastAsia="Tahoma" w:cs="Tahoma"/>
          <w:sz w:val="23"/>
          <w:szCs w:val="23"/>
        </w:rPr>
      </w:r>
    </w:p>
    <w:p>
      <w:pPr>
        <w:pStyle w:val="Normal"/>
        <w:widowControl w:val="false"/>
        <w:tabs>
          <w:tab w:val="left" w:pos="-14760" w:leader="none"/>
          <w:tab w:val="left" w:pos="-13768" w:leader="none"/>
        </w:tabs>
        <w:ind w:left="348" w:right="0" w:hanging="0"/>
        <w:jc w:val="both"/>
        <w:rPr>
          <w:rFonts w:eastAsia="Tahoma" w:cs="Tahoma"/>
          <w:sz w:val="23"/>
          <w:szCs w:val="23"/>
        </w:rPr>
      </w:pPr>
      <w:r>
        <w:rPr>
          <w:rFonts w:eastAsia="Tahoma" w:cs="Tahoma"/>
          <w:sz w:val="23"/>
          <w:szCs w:val="23"/>
        </w:rPr>
      </w:r>
    </w:p>
    <w:p>
      <w:pPr>
        <w:pStyle w:val="Normal"/>
        <w:widowControl w:val="false"/>
        <w:numPr>
          <w:ilvl w:val="0"/>
          <w:numId w:val="3"/>
        </w:numPr>
        <w:tabs>
          <w:tab w:val="left" w:pos="-14760" w:leader="none"/>
          <w:tab w:val="left" w:pos="-13768" w:leader="none"/>
        </w:tabs>
        <w:ind w:left="1068" w:right="0" w:hanging="360"/>
        <w:jc w:val="both"/>
        <w:rPr>
          <w:sz w:val="23"/>
          <w:szCs w:val="23"/>
        </w:rPr>
      </w:pPr>
      <w:r>
        <w:rPr>
          <w:sz w:val="23"/>
          <w:szCs w:val="23"/>
        </w:rPr>
        <w:t>di non partecipare alla presente procedura in gara in proprio, come associata o come consorziata, e di non essere stata nominata ausiliaria di più di un concorrente:</w:t>
      </w:r>
    </w:p>
    <w:p>
      <w:pPr>
        <w:pStyle w:val="Normal"/>
        <w:widowControl w:val="false"/>
        <w:tabs>
          <w:tab w:val="left" w:pos="-14476" w:leader="none"/>
          <w:tab w:val="left" w:pos="-13484" w:leader="none"/>
        </w:tabs>
        <w:suppressAutoHyphens w:val="true"/>
        <w:bidi w:val="0"/>
        <w:ind w:left="1304" w:right="0" w:hanging="0"/>
        <w:jc w:val="both"/>
        <w:textAlignment w:val="baseline"/>
        <w:rPr>
          <w:rFonts w:eastAsia="Tahoma" w:cs="Tahoma"/>
          <w:color w:val="000000"/>
          <w:sz w:val="23"/>
          <w:szCs w:val="23"/>
        </w:rPr>
      </w:pPr>
      <w:bookmarkStart w:id="34" w:name="__DdeLink__43111_91320773117"/>
      <w:r>
        <w:rPr>
          <w:rFonts w:eastAsia="Tahoma" w:cs="Tahoma"/>
          <w:sz w:val="23"/>
          <w:szCs w:val="23"/>
        </w:rPr>
        <w:t xml:space="preserve">     </w:t>
      </w:r>
      <w:bookmarkEnd w:id="34"/>
      <w:r>
        <w:rPr>
          <w:rFonts w:eastAsia="Tahoma" w:cs="Tahoma"/>
          <w:color w:val="000000"/>
          <w:sz w:val="23"/>
          <w:szCs w:val="23"/>
        </w:rPr>
        <w:t>[   ]Sì     [   ]No</w:t>
      </w:r>
    </w:p>
    <w:p>
      <w:pPr>
        <w:pStyle w:val="Normal"/>
        <w:widowControl w:val="false"/>
        <w:tabs>
          <w:tab w:val="left" w:pos="-14930" w:leader="none"/>
          <w:tab w:val="left" w:pos="-13938" w:leader="none"/>
        </w:tabs>
        <w:ind w:left="850" w:right="0" w:hanging="0"/>
        <w:jc w:val="both"/>
        <w:rPr>
          <w:rFonts w:eastAsia="Tahoma" w:cs="Tahoma"/>
          <w:sz w:val="23"/>
          <w:szCs w:val="23"/>
        </w:rPr>
      </w:pPr>
      <w:r>
        <w:rPr>
          <w:rFonts w:eastAsia="Tahoma" w:cs="Tahoma"/>
          <w:sz w:val="23"/>
          <w:szCs w:val="23"/>
        </w:rPr>
      </w:r>
    </w:p>
    <w:p>
      <w:pPr>
        <w:pStyle w:val="Normal"/>
        <w:widowControl w:val="false"/>
        <w:tabs>
          <w:tab w:val="left" w:pos="-14930" w:leader="none"/>
          <w:tab w:val="left" w:pos="-13938" w:leader="none"/>
        </w:tabs>
        <w:ind w:left="850" w:right="0" w:hanging="0"/>
        <w:jc w:val="both"/>
        <w:rPr>
          <w:rFonts w:eastAsia="Tahoma" w:cs="Tahoma"/>
          <w:sz w:val="23"/>
          <w:szCs w:val="23"/>
        </w:rPr>
      </w:pPr>
      <w:r>
        <w:rPr>
          <w:rFonts w:eastAsia="Tahoma" w:cs="Tahoma"/>
          <w:sz w:val="23"/>
          <w:szCs w:val="23"/>
        </w:rPr>
      </w:r>
    </w:p>
    <w:p>
      <w:pPr>
        <w:pStyle w:val="Normal"/>
        <w:tabs>
          <w:tab w:val="left" w:pos="284" w:leader="none"/>
          <w:tab w:val="left" w:pos="1276" w:leader="none"/>
        </w:tabs>
        <w:jc w:val="both"/>
        <w:rPr>
          <w:rFonts w:eastAsia="Tahoma" w:cs="Tahoma"/>
          <w:b/>
          <w:bCs/>
          <w:sz w:val="23"/>
          <w:szCs w:val="23"/>
        </w:rPr>
      </w:pPr>
      <w:r>
        <w:rPr>
          <w:rFonts w:eastAsia="Tahoma" w:cs="Tahoma"/>
          <w:b/>
          <w:bCs/>
          <w:sz w:val="23"/>
          <w:szCs w:val="23"/>
        </w:rPr>
      </w:r>
    </w:p>
    <w:p>
      <w:pPr>
        <w:pStyle w:val="Normal"/>
        <w:tabs>
          <w:tab w:val="left" w:pos="284" w:leader="none"/>
          <w:tab w:val="left" w:pos="1276" w:leader="none"/>
        </w:tabs>
        <w:ind w:left="567" w:right="0" w:hanging="0"/>
        <w:jc w:val="both"/>
        <w:rPr>
          <w:rFonts w:eastAsia="Tahoma" w:cs="Tahoma"/>
          <w:b/>
          <w:bCs/>
          <w:sz w:val="23"/>
          <w:szCs w:val="23"/>
        </w:rPr>
      </w:pPr>
      <w:r>
        <w:rPr>
          <w:rFonts w:eastAsia="Tahoma" w:cs="Tahoma"/>
          <w:b/>
          <w:bCs/>
          <w:sz w:val="23"/>
          <w:szCs w:val="23"/>
        </w:rPr>
        <w:t>ULTERIORI DICHIARAZIONI</w:t>
      </w:r>
    </w:p>
    <w:p>
      <w:pPr>
        <w:pStyle w:val="Normal"/>
        <w:tabs>
          <w:tab w:val="left" w:pos="908" w:leader="none"/>
          <w:tab w:val="left" w:pos="1900" w:leader="none"/>
        </w:tabs>
        <w:ind w:left="567" w:right="0" w:hanging="0"/>
        <w:jc w:val="both"/>
        <w:rPr>
          <w:rFonts w:eastAsia="Tahoma" w:cs="Tahoma"/>
          <w:b/>
          <w:bCs/>
          <w:sz w:val="23"/>
          <w:szCs w:val="23"/>
        </w:rPr>
      </w:pPr>
      <w:r>
        <w:rPr>
          <w:rFonts w:eastAsia="Tahoma" w:cs="Tahoma"/>
          <w:b/>
          <w:bCs/>
          <w:sz w:val="23"/>
          <w:szCs w:val="23"/>
        </w:rPr>
        <w:t>L’operatore economico dichiara:</w:t>
      </w:r>
    </w:p>
    <w:p>
      <w:pPr>
        <w:pStyle w:val="Normal"/>
        <w:tabs>
          <w:tab w:val="left" w:pos="284" w:leader="none"/>
          <w:tab w:val="left" w:pos="1276" w:leader="none"/>
        </w:tabs>
        <w:jc w:val="both"/>
        <w:rPr>
          <w:rFonts w:eastAsia="Tahoma" w:cs="Tahoma"/>
          <w:sz w:val="23"/>
          <w:szCs w:val="23"/>
        </w:rPr>
      </w:pPr>
      <w:r>
        <w:rPr>
          <w:rFonts w:eastAsia="Tahoma" w:cs="Tahoma"/>
          <w:sz w:val="23"/>
          <w:szCs w:val="23"/>
        </w:rPr>
      </w:r>
    </w:p>
    <w:p>
      <w:pPr>
        <w:pStyle w:val="Normal"/>
        <w:widowControl w:val="false"/>
        <w:numPr>
          <w:ilvl w:val="0"/>
          <w:numId w:val="4"/>
        </w:numPr>
        <w:tabs>
          <w:tab w:val="left" w:pos="1163" w:leader="none"/>
        </w:tabs>
        <w:suppressAutoHyphens w:val="true"/>
        <w:bidi w:val="0"/>
        <w:spacing w:lineRule="auto" w:line="276"/>
        <w:jc w:val="both"/>
        <w:textAlignment w:val="baseline"/>
        <w:rPr>
          <w:rFonts w:eastAsia="Tahoma" w:cs="Tahoma"/>
          <w:sz w:val="23"/>
          <w:szCs w:val="23"/>
        </w:rPr>
      </w:pPr>
      <w:r>
        <w:rPr>
          <w:rFonts w:eastAsia="Tahoma" w:cs="Tahoma"/>
          <w:sz w:val="23"/>
          <w:szCs w:val="23"/>
        </w:rPr>
        <w:t>di non aver concluso contratti di lavoro subordinato o autonomo e comunque di non aver attribuito incarichi ad ex dipendenti o incaricati dell'Ente committente che hanno esercitato poteri autoritativi o negoziali, per conto dell'Ente medesimo, per il triennio successivo alla cessazione del rapporto.</w:t>
      </w:r>
    </w:p>
    <w:p>
      <w:pPr>
        <w:pStyle w:val="Normal"/>
        <w:tabs>
          <w:tab w:val="left" w:pos="284" w:leader="none"/>
          <w:tab w:val="left" w:pos="1276" w:leader="none"/>
        </w:tabs>
        <w:ind w:left="720" w:right="0" w:hanging="0"/>
        <w:jc w:val="both"/>
        <w:rPr>
          <w:rFonts w:eastAsia="Tahoma" w:cs="Tahoma"/>
          <w:sz w:val="23"/>
          <w:szCs w:val="23"/>
        </w:rPr>
      </w:pPr>
      <w:r>
        <w:rPr>
          <w:rFonts w:eastAsia="Tahoma" w:cs="Tahoma"/>
          <w:sz w:val="23"/>
          <w:szCs w:val="23"/>
        </w:rPr>
      </w:r>
    </w:p>
    <w:p>
      <w:pPr>
        <w:pStyle w:val="Normale"/>
        <w:widowControl w:val="false"/>
        <w:numPr>
          <w:ilvl w:val="0"/>
          <w:numId w:val="4"/>
        </w:numPr>
        <w:tabs>
          <w:tab w:val="left" w:pos="-3600" w:leader="none"/>
          <w:tab w:val="left" w:pos="-3240" w:leader="none"/>
          <w:tab w:val="left" w:pos="1118" w:leader="none"/>
        </w:tabs>
        <w:suppressAutoHyphens w:val="true"/>
        <w:bidi w:val="0"/>
        <w:spacing w:lineRule="auto" w:line="276"/>
        <w:jc w:val="both"/>
        <w:textAlignment w:val="baseline"/>
        <w:rPr>
          <w:rStyle w:val="Carpredefinitoparagrafo"/>
          <w:rFonts w:eastAsia="Times New Roman" w:cs="Times New Roman"/>
          <w:strike w:val="false"/>
          <w:dstrike w:val="false"/>
          <w:color w:val="00000A"/>
          <w:sz w:val="23"/>
          <w:szCs w:val="23"/>
          <w:lang w:val="it-IT" w:eastAsia="zh-CN" w:bidi="ar-SA"/>
        </w:rPr>
      </w:pPr>
      <w:r>
        <w:rPr>
          <w:rStyle w:val="Carpredefinitoparagrafo"/>
          <w:rFonts w:eastAsia="Times New Roman" w:cs="Times New Roman"/>
          <w:strike w:val="false"/>
          <w:dstrike w:val="false"/>
          <w:color w:val="00000A"/>
          <w:sz w:val="23"/>
          <w:szCs w:val="23"/>
          <w:lang w:val="it-IT" w:eastAsia="zh-CN" w:bidi="ar-SA"/>
        </w:rPr>
        <w:t>che il sottoscritto medesimo nonché tutti i dipendenti, collaboratori della società/impresa si obbligano al rispetto delle disposizioni contenute nel codice di comportamento dei dipendenti del Comune di Casalgrande, del Comune di Castellarano e del Comune di Scandiano, consultabile nel Sito internet istituzionale dei rispettivi Comuni committenti, nonché al rispetto delle disposizioni applicabili del codice di comportamento dei dipendenti pubblici (D.P.R. n. 62 del 16/04/2013);</w:t>
      </w:r>
    </w:p>
    <w:p>
      <w:pPr>
        <w:pStyle w:val="Normal"/>
        <w:keepNext/>
        <w:numPr>
          <w:ilvl w:val="0"/>
          <w:numId w:val="4"/>
        </w:numPr>
        <w:spacing w:before="120" w:after="60"/>
        <w:rPr>
          <w:rFonts w:eastAsia="Tahoma" w:cs="Tahoma"/>
          <w:bCs/>
          <w:sz w:val="23"/>
          <w:szCs w:val="23"/>
        </w:rPr>
      </w:pPr>
      <w:r>
        <w:rPr>
          <w:rFonts w:eastAsia="Tahoma" w:cs="Tahoma"/>
          <w:b/>
          <w:bCs/>
          <w:sz w:val="23"/>
          <w:szCs w:val="23"/>
        </w:rPr>
        <w:t xml:space="preserve">[Per gli operatori economici non residenti e privi di stabile organizzazione in Italia] </w:t>
      </w:r>
      <w:r>
        <w:rPr>
          <w:rFonts w:eastAsia="Tahoma" w:cs="Tahoma"/>
          <w:b w:val="false"/>
          <w:bCs w:val="false"/>
          <w:sz w:val="23"/>
          <w:szCs w:val="23"/>
        </w:rPr>
        <w:t>d</w:t>
      </w:r>
      <w:r>
        <w:rPr>
          <w:rFonts w:cs="Calibri"/>
          <w:b w:val="false"/>
          <w:bCs w:val="false"/>
          <w:sz w:val="23"/>
          <w:szCs w:val="23"/>
        </w:rPr>
        <w:t>i</w:t>
      </w:r>
      <w:r>
        <w:rPr>
          <w:rFonts w:cs="Calibri"/>
          <w:sz w:val="23"/>
          <w:szCs w:val="23"/>
        </w:rPr>
        <w:t xml:space="preserve"> impegnarsi ad </w:t>
      </w:r>
      <w:r>
        <w:rPr>
          <w:rFonts w:cs="Arial"/>
          <w:sz w:val="23"/>
          <w:szCs w:val="23"/>
        </w:rPr>
        <w:t>uniformarsi, in caso di aggiudicazione, alla disciplina di cui agli articoli 17, comma 2, e 53, comma 3 del d.p.r. 633/1972 e a comunicare alla stazione appaltante la nomina del proprio rappresentante fiscale, nelle forme di legge</w:t>
      </w:r>
      <w:r>
        <w:rPr>
          <w:rFonts w:eastAsia="Tahoma" w:cs="Tahoma"/>
          <w:bCs/>
          <w:sz w:val="23"/>
          <w:szCs w:val="23"/>
        </w:rPr>
        <w:t>;</w:t>
      </w:r>
    </w:p>
    <w:p>
      <w:pPr>
        <w:pStyle w:val="Normal"/>
        <w:widowControl w:val="false"/>
        <w:tabs>
          <w:tab w:val="left" w:pos="-15954" w:leader="none"/>
          <w:tab w:val="left" w:pos="-14962" w:leader="none"/>
        </w:tabs>
        <w:ind w:left="720" w:right="0" w:hanging="0"/>
        <w:jc w:val="both"/>
        <w:rPr>
          <w:rFonts w:eastAsia="Tahoma" w:cs="Tahoma"/>
          <w:b/>
          <w:sz w:val="23"/>
          <w:szCs w:val="23"/>
          <w:u w:val="single"/>
        </w:rPr>
      </w:pPr>
      <w:r>
        <w:rPr>
          <w:rFonts w:eastAsia="Tahoma" w:cs="Tahoma"/>
          <w:b/>
          <w:sz w:val="23"/>
          <w:szCs w:val="23"/>
          <w:u w:val="single"/>
        </w:rPr>
      </w:r>
    </w:p>
    <w:p>
      <w:pPr>
        <w:pStyle w:val="Normal"/>
        <w:widowControl w:val="false"/>
        <w:numPr>
          <w:ilvl w:val="0"/>
          <w:numId w:val="4"/>
        </w:numPr>
        <w:tabs>
          <w:tab w:val="left" w:pos="454" w:leader="none"/>
          <w:tab w:val="left" w:pos="1446" w:leader="none"/>
        </w:tabs>
        <w:suppressAutoHyphens w:val="true"/>
        <w:bidi w:val="0"/>
        <w:jc w:val="both"/>
        <w:textAlignment w:val="baseline"/>
        <w:rPr>
          <w:color w:val="000000"/>
          <w:sz w:val="23"/>
          <w:szCs w:val="23"/>
        </w:rPr>
      </w:pPr>
      <w:r>
        <w:rPr>
          <w:color w:val="000000"/>
          <w:sz w:val="23"/>
          <w:szCs w:val="23"/>
          <w:u w:val="single"/>
        </w:rPr>
        <w:t>Solo per gli operatori economici ammessi al concordato preventivo con continuità aziendale</w:t>
      </w:r>
      <w:r>
        <w:rPr>
          <w:color w:val="000000"/>
          <w:sz w:val="23"/>
          <w:szCs w:val="23"/>
        </w:rPr>
        <w:t xml:space="preserve"> di cui all’art. 186 bis del R.D. 16 marzo 1942, n. 267, o che abbiano depositato la domanda di cui all'art. 161, sesto comma, del citato RD 267/1942: dichiarazione attestante quanto segue (rispettivamente e a secondo della fase):</w:t>
      </w:r>
    </w:p>
    <w:p>
      <w:pPr>
        <w:pStyle w:val="Normal"/>
        <w:jc w:val="left"/>
        <w:rPr>
          <w:sz w:val="23"/>
          <w:szCs w:val="23"/>
        </w:rPr>
      </w:pPr>
      <w:r>
        <w:rPr>
          <w:sz w:val="23"/>
          <w:szCs w:val="23"/>
        </w:rPr>
      </w:r>
    </w:p>
    <w:p>
      <w:pPr>
        <w:pStyle w:val="Normal"/>
        <w:suppressAutoHyphens w:val="true"/>
        <w:bidi w:val="0"/>
        <w:jc w:val="both"/>
        <w:textAlignment w:val="baseline"/>
        <w:rPr>
          <w:color w:val="000000"/>
          <w:sz w:val="23"/>
          <w:szCs w:val="23"/>
        </w:rPr>
      </w:pPr>
      <w:r>
        <w:rPr>
          <w:color w:val="000000"/>
          <w:sz w:val="23"/>
          <w:szCs w:val="23"/>
        </w:rPr>
        <w:t xml:space="preserve">a)  </w:t>
      </w:r>
      <w:r>
        <w:rPr>
          <w:color w:val="000000"/>
          <w:sz w:val="23"/>
          <w:szCs w:val="23"/>
          <w:u w:val="single"/>
        </w:rPr>
        <w:t xml:space="preserve">Tra la fase di presentazione della domanda di concordato fino all'emissione del decreto di apertura: </w:t>
      </w:r>
      <w:r>
        <w:rPr>
          <w:color w:val="000000"/>
          <w:sz w:val="23"/>
          <w:szCs w:val="23"/>
        </w:rPr>
        <w:t xml:space="preserve">ad integrazione di quanto indicato nella parte III, sez. C, lett. d) del DGUE, dovranno essere dichiarati gli  estremi del provvedimento di autorizzazione a partecipare alle gare, rilasciato dal Tribunale di ……………… nonché dichiarazione  attestante: di partecipare alla gara in avvalimento e di non partecipare  alla gara quale mandataria di un raggruppamento temporaneo di imprese e che le altre imprese aderenti al raggruppamento non sono assoggettate ad una procedura concorsuale ai sensi dell’art. 186 bis, comma 6 del R.D. 16 marzo 1942, n. 267; </w:t>
      </w:r>
    </w:p>
    <w:p>
      <w:pPr>
        <w:pStyle w:val="Normal"/>
        <w:widowControl w:val="false"/>
        <w:tabs>
          <w:tab w:val="left" w:pos="454" w:leader="none"/>
          <w:tab w:val="left" w:pos="1446" w:leader="none"/>
        </w:tabs>
        <w:suppressAutoHyphens w:val="true"/>
        <w:bidi w:val="0"/>
        <w:jc w:val="left"/>
        <w:textAlignment w:val="baseline"/>
        <w:rPr>
          <w:sz w:val="23"/>
          <w:szCs w:val="23"/>
        </w:rPr>
      </w:pPr>
      <w:r>
        <w:rPr>
          <w:sz w:val="23"/>
          <w:szCs w:val="23"/>
        </w:rPr>
      </w:r>
    </w:p>
    <w:p>
      <w:pPr>
        <w:pStyle w:val="Normal"/>
        <w:widowControl w:val="false"/>
        <w:tabs>
          <w:tab w:val="left" w:pos="454" w:leader="none"/>
          <w:tab w:val="left" w:pos="1446" w:leader="none"/>
        </w:tabs>
        <w:suppressAutoHyphens w:val="true"/>
        <w:bidi w:val="0"/>
        <w:jc w:val="both"/>
        <w:textAlignment w:val="baseline"/>
        <w:rPr>
          <w:rFonts w:eastAsia="Tahoma" w:cs="Tahoma"/>
          <w:color w:val="000000"/>
          <w:sz w:val="23"/>
          <w:szCs w:val="23"/>
        </w:rPr>
      </w:pPr>
      <w:r>
        <w:rPr>
          <w:rFonts w:eastAsia="Tahoma" w:cs="Tahoma"/>
          <w:color w:val="000000"/>
          <w:sz w:val="23"/>
          <w:szCs w:val="23"/>
        </w:rPr>
        <w:t xml:space="preserve">b) </w:t>
      </w:r>
      <w:r>
        <w:rPr>
          <w:rFonts w:eastAsia="Tahoma" w:cs="Tahoma"/>
          <w:color w:val="000000"/>
          <w:sz w:val="23"/>
          <w:szCs w:val="23"/>
          <w:u w:val="single"/>
        </w:rPr>
        <w:t>Dopo l'emissione del decreto di apertura:</w:t>
      </w:r>
      <w:r>
        <w:rPr>
          <w:rFonts w:eastAsia="Tahoma" w:cs="Tahoma"/>
          <w:color w:val="000000"/>
          <w:sz w:val="23"/>
          <w:szCs w:val="23"/>
        </w:rPr>
        <w:t xml:space="preserve"> ad integrazione di quanto indicato nella parte III, sez. C, lett. d) del DGUE, dovranno essere dichiarati  gli  estremi del provvedimento di autorizzazione a partecipare alle gare rilasciato dal Giudice delegato di ……………… nonché dichiarazione attestante:  di non partecipare alla gara quale mandataria di un raggruppamento temporaneo di imprese e che le altre imprese aderenti al raggruppamento non sono assoggettate ad una procedura concorsuale ai sensi dell’art. 186 bis, comma 6 del R.D. 16 marzo 1942, n. 267;</w:t>
      </w:r>
    </w:p>
    <w:p>
      <w:pPr>
        <w:pStyle w:val="Normal"/>
        <w:tabs>
          <w:tab w:val="left" w:pos="284" w:leader="none"/>
          <w:tab w:val="left" w:pos="1276" w:leader="none"/>
        </w:tabs>
        <w:ind w:left="720" w:right="0" w:hanging="0"/>
        <w:jc w:val="both"/>
        <w:rPr>
          <w:rFonts w:eastAsia="Tahoma" w:cs="Tahoma"/>
          <w:sz w:val="23"/>
          <w:szCs w:val="23"/>
        </w:rPr>
      </w:pPr>
      <w:r>
        <w:rPr>
          <w:rFonts w:eastAsia="Tahoma" w:cs="Tahoma"/>
          <w:sz w:val="23"/>
          <w:szCs w:val="23"/>
        </w:rPr>
      </w:r>
    </w:p>
    <w:p>
      <w:pPr>
        <w:pStyle w:val="Normal"/>
        <w:widowControl w:val="false"/>
        <w:numPr>
          <w:ilvl w:val="0"/>
          <w:numId w:val="4"/>
        </w:numPr>
        <w:tabs>
          <w:tab w:val="left" w:pos="454" w:leader="none"/>
          <w:tab w:val="left" w:pos="1446" w:leader="none"/>
        </w:tabs>
        <w:spacing w:lineRule="auto" w:line="276"/>
        <w:jc w:val="both"/>
        <w:rPr>
          <w:rFonts w:eastAsia="Tahoma" w:cs="Tahoma"/>
          <w:bCs/>
          <w:sz w:val="23"/>
          <w:szCs w:val="23"/>
        </w:rPr>
      </w:pPr>
      <w:r>
        <w:rPr>
          <w:rFonts w:eastAsia="Tahoma" w:cs="Tahoma"/>
          <w:bCs/>
          <w:sz w:val="23"/>
          <w:szCs w:val="23"/>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pPr>
        <w:pStyle w:val="Normal"/>
        <w:widowControl w:val="false"/>
        <w:tabs>
          <w:tab w:val="left" w:pos="454" w:leader="none"/>
          <w:tab w:val="left" w:pos="1446" w:leader="none"/>
        </w:tabs>
        <w:ind w:left="720" w:right="0" w:hanging="0"/>
        <w:jc w:val="both"/>
        <w:rPr>
          <w:rFonts w:eastAsia="Tahoma" w:cs="Tahoma"/>
          <w:bCs/>
          <w:sz w:val="23"/>
          <w:szCs w:val="23"/>
        </w:rPr>
      </w:pPr>
      <w:r>
        <w:rPr>
          <w:rFonts w:eastAsia="Tahoma" w:cs="Tahoma"/>
          <w:bCs/>
          <w:sz w:val="23"/>
          <w:szCs w:val="23"/>
        </w:rPr>
      </w:r>
    </w:p>
    <w:p>
      <w:pPr>
        <w:pStyle w:val="Normal"/>
        <w:widowControl w:val="false"/>
        <w:numPr>
          <w:ilvl w:val="0"/>
          <w:numId w:val="4"/>
        </w:numPr>
        <w:tabs>
          <w:tab w:val="left" w:pos="454" w:leader="none"/>
          <w:tab w:val="left" w:pos="1446" w:leader="none"/>
        </w:tabs>
        <w:jc w:val="both"/>
        <w:rPr>
          <w:rFonts w:eastAsia="Tahoma" w:cs="Tahoma"/>
          <w:bCs/>
          <w:sz w:val="23"/>
          <w:szCs w:val="23"/>
        </w:rPr>
      </w:pPr>
      <w:r>
        <w:rPr>
          <w:rFonts w:eastAsia="Tahoma" w:cs="Tahoma"/>
          <w:bCs/>
          <w:sz w:val="23"/>
          <w:szCs w:val="23"/>
        </w:rPr>
        <w:t>di non aver violato l’art. 5, comma 2, lett. c), l. 15 dicembre 1990, n. 386 (“Nuova disciplina sanzionatoria degli assegni bancari”);</w:t>
      </w:r>
    </w:p>
    <w:p>
      <w:pPr>
        <w:pStyle w:val="Normal"/>
        <w:widowControl w:val="false"/>
        <w:spacing w:lineRule="auto" w:line="276"/>
        <w:ind w:left="720" w:right="0" w:hanging="0"/>
        <w:jc w:val="both"/>
        <w:rPr>
          <w:sz w:val="23"/>
          <w:szCs w:val="23"/>
        </w:rPr>
      </w:pPr>
      <w:r>
        <w:rPr>
          <w:sz w:val="23"/>
          <w:szCs w:val="23"/>
        </w:rPr>
      </w:r>
    </w:p>
    <w:p>
      <w:pPr>
        <w:pStyle w:val="Normal"/>
        <w:widowControl w:val="false"/>
        <w:numPr>
          <w:ilvl w:val="0"/>
          <w:numId w:val="4"/>
        </w:numPr>
        <w:tabs>
          <w:tab w:val="left" w:pos="454" w:leader="none"/>
          <w:tab w:val="left" w:pos="1446" w:leader="none"/>
        </w:tabs>
        <w:spacing w:lineRule="auto" w:line="276"/>
        <w:jc w:val="both"/>
        <w:rPr>
          <w:rFonts w:eastAsia="Tahoma" w:cs="Tahoma"/>
          <w:sz w:val="23"/>
          <w:szCs w:val="23"/>
        </w:rPr>
      </w:pPr>
      <w:r>
        <w:rPr>
          <w:rFonts w:cs="Arial"/>
          <w:sz w:val="23"/>
          <w:szCs w:val="23"/>
        </w:rPr>
        <w:t xml:space="preserve">di essere informato, </w:t>
      </w:r>
      <w:r>
        <w:rPr>
          <w:rFonts w:eastAsia="Tahoma" w:cs="Tahoma"/>
          <w:bCs/>
          <w:sz w:val="23"/>
          <w:szCs w:val="23"/>
        </w:rPr>
        <w:t>ai sensi dell’art. 13 del Regolamento Europeo n. 679/2016</w:t>
      </w:r>
      <w:r>
        <w:rPr>
          <w:rFonts w:cs="Arial"/>
          <w:sz w:val="23"/>
          <w:szCs w:val="23"/>
        </w:rPr>
        <w:t xml:space="preserve"> che i dati personali raccolti saranno trattati, anche con strumenti informatici, esclusivamente nell’ambito della presente gara, nonché dell’esistenza dei diritti di cui al medesimo Regolamento</w:t>
      </w:r>
      <w:r>
        <w:rPr>
          <w:rFonts w:eastAsia="Tahoma" w:cs="Tahoma"/>
          <w:sz w:val="23"/>
          <w:szCs w:val="23"/>
        </w:rPr>
        <w:t>.</w:t>
      </w:r>
    </w:p>
    <w:p>
      <w:pPr>
        <w:pStyle w:val="Normal"/>
        <w:tabs>
          <w:tab w:val="left" w:pos="454" w:leader="none"/>
          <w:tab w:val="left" w:pos="1446" w:leader="none"/>
        </w:tabs>
        <w:spacing w:lineRule="auto" w:line="276"/>
        <w:ind w:left="454" w:right="0" w:hanging="0"/>
        <w:jc w:val="left"/>
        <w:rPr>
          <w:sz w:val="23"/>
          <w:szCs w:val="23"/>
        </w:rPr>
      </w:pPr>
      <w:r>
        <w:rPr>
          <w:sz w:val="23"/>
          <w:szCs w:val="23"/>
        </w:rPr>
      </w:r>
    </w:p>
    <w:p>
      <w:pPr>
        <w:pStyle w:val="Normal"/>
        <w:tabs>
          <w:tab w:val="left" w:pos="454" w:leader="none"/>
          <w:tab w:val="left" w:pos="1446" w:leader="none"/>
        </w:tabs>
        <w:spacing w:lineRule="auto" w:line="276"/>
        <w:ind w:left="454" w:right="0" w:hanging="0"/>
        <w:jc w:val="left"/>
        <w:rPr>
          <w:sz w:val="23"/>
          <w:szCs w:val="23"/>
        </w:rPr>
      </w:pPr>
      <w:r>
        <w:rPr>
          <w:sz w:val="23"/>
          <w:szCs w:val="23"/>
        </w:rPr>
      </w:r>
    </w:p>
    <w:p>
      <w:pPr>
        <w:pStyle w:val="Normal"/>
        <w:tabs>
          <w:tab w:val="left" w:pos="454" w:leader="none"/>
          <w:tab w:val="left" w:pos="1446" w:leader="none"/>
        </w:tabs>
        <w:spacing w:lineRule="auto" w:line="276"/>
        <w:ind w:left="454" w:right="0" w:hanging="0"/>
        <w:jc w:val="left"/>
        <w:rPr>
          <w:sz w:val="23"/>
          <w:szCs w:val="23"/>
        </w:rPr>
      </w:pPr>
      <w:r>
        <w:rPr>
          <w:sz w:val="23"/>
          <w:szCs w:val="23"/>
        </w:rPr>
      </w:r>
    </w:p>
    <w:p>
      <w:pPr>
        <w:pStyle w:val="Normal"/>
        <w:spacing w:lineRule="auto" w:line="360"/>
        <w:jc w:val="both"/>
        <w:rPr>
          <w:rFonts w:cs="Arial"/>
          <w:b/>
          <w:sz w:val="23"/>
          <w:szCs w:val="23"/>
          <w:lang w:val="it-IT"/>
        </w:rPr>
      </w:pPr>
      <w:r>
        <w:rPr>
          <w:rFonts w:cs="Arial"/>
          <w:b/>
          <w:sz w:val="23"/>
          <w:szCs w:val="23"/>
          <w:lang w:val="it-IT"/>
        </w:rPr>
        <w:t>Ulteriori indicazioni necessarie all’effettuazione degli accertamenti relativi alle singole cause di esclusione.</w:t>
      </w:r>
    </w:p>
    <w:p>
      <w:pPr>
        <w:pStyle w:val="Normal"/>
        <w:spacing w:lineRule="auto" w:line="360"/>
        <w:jc w:val="both"/>
        <w:rPr>
          <w:rFonts w:cs="Arial"/>
          <w:sz w:val="23"/>
          <w:szCs w:val="23"/>
          <w:lang w:val="it-IT"/>
        </w:rPr>
      </w:pPr>
      <w:r>
        <w:rPr>
          <w:rFonts w:cs="Arial"/>
          <w:sz w:val="23"/>
          <w:szCs w:val="23"/>
          <w:lang w:val="it-IT"/>
        </w:rPr>
      </w:r>
    </w:p>
    <w:p>
      <w:pPr>
        <w:pStyle w:val="Normal"/>
        <w:spacing w:lineRule="auto" w:line="360"/>
        <w:jc w:val="both"/>
        <w:rPr>
          <w:rFonts w:cs="Arial"/>
          <w:sz w:val="23"/>
          <w:szCs w:val="23"/>
          <w:lang w:val="it-IT"/>
        </w:rPr>
      </w:pPr>
      <w:r>
        <w:rPr>
          <w:rFonts w:cs="Arial"/>
          <w:sz w:val="23"/>
          <w:szCs w:val="23"/>
          <w:lang w:val="it-IT"/>
        </w:rPr>
        <w:t>Ufficio/sede dell’Agenzia delle Entrate:</w:t>
      </w:r>
    </w:p>
    <w:p>
      <w:pPr>
        <w:pStyle w:val="Normal"/>
        <w:spacing w:lineRule="auto" w:line="360"/>
        <w:jc w:val="both"/>
        <w:rPr>
          <w:rFonts w:cs="Arial"/>
          <w:sz w:val="23"/>
          <w:szCs w:val="23"/>
          <w:lang w:val="it-IT"/>
        </w:rPr>
      </w:pPr>
      <w:r>
        <w:rPr>
          <w:rFonts w:cs="Arial"/>
          <w:sz w:val="23"/>
          <w:szCs w:val="23"/>
          <w:lang w:val="it-IT"/>
        </w:rPr>
        <w:t xml:space="preserve">Ufficio di __________________________, città __________________________________, Prov. _____, via _________________________, n. _____, CAP _______ tel. _________________, e-mail ________________________________, </w:t>
      </w:r>
    </w:p>
    <w:p>
      <w:pPr>
        <w:pStyle w:val="Normal"/>
        <w:spacing w:lineRule="auto" w:line="360"/>
        <w:jc w:val="both"/>
        <w:rPr>
          <w:rFonts w:cs="Arial"/>
          <w:sz w:val="23"/>
          <w:szCs w:val="23"/>
          <w:lang w:val="it-IT"/>
        </w:rPr>
      </w:pPr>
      <w:r>
        <w:rPr>
          <w:rFonts w:cs="Arial"/>
          <w:sz w:val="23"/>
          <w:szCs w:val="23"/>
          <w:lang w:val="it-IT"/>
        </w:rPr>
        <w:t>PEC _____________________________________.</w:t>
      </w:r>
    </w:p>
    <w:p>
      <w:pPr>
        <w:pStyle w:val="Normal"/>
        <w:spacing w:lineRule="auto" w:line="360"/>
        <w:jc w:val="both"/>
        <w:rPr>
          <w:rFonts w:cs="Arial"/>
          <w:sz w:val="23"/>
          <w:szCs w:val="23"/>
          <w:lang w:val="it-IT"/>
        </w:rPr>
      </w:pPr>
      <w:r>
        <w:rPr>
          <w:rFonts w:cs="Arial"/>
          <w:sz w:val="23"/>
          <w:szCs w:val="23"/>
          <w:lang w:val="it-IT"/>
        </w:rPr>
      </w:r>
    </w:p>
    <w:p>
      <w:pPr>
        <w:pStyle w:val="Normal"/>
        <w:spacing w:lineRule="auto" w:line="360"/>
        <w:jc w:val="both"/>
        <w:rPr>
          <w:rFonts w:cs="Arial"/>
          <w:sz w:val="23"/>
          <w:szCs w:val="23"/>
          <w:lang w:val="it-IT"/>
        </w:rPr>
      </w:pPr>
      <w:r>
        <w:rPr>
          <w:rFonts w:cs="Arial"/>
          <w:sz w:val="23"/>
          <w:szCs w:val="23"/>
          <w:lang w:val="it-IT"/>
        </w:rPr>
      </w:r>
    </w:p>
    <w:p>
      <w:pPr>
        <w:pStyle w:val="Normal"/>
        <w:spacing w:lineRule="auto" w:line="360"/>
        <w:jc w:val="both"/>
        <w:rPr>
          <w:rFonts w:cs="Arial"/>
          <w:sz w:val="23"/>
          <w:szCs w:val="23"/>
          <w:lang w:val="it-IT"/>
        </w:rPr>
      </w:pPr>
      <w:r>
        <w:rPr>
          <w:rFonts w:cs="Arial"/>
          <w:sz w:val="23"/>
          <w:szCs w:val="23"/>
          <w:lang w:val="it-IT"/>
        </w:rPr>
        <w:t>Ufficio della Provincia competente per la certificazione di cui alla legge 68/1999:</w:t>
      </w:r>
    </w:p>
    <w:p>
      <w:pPr>
        <w:pStyle w:val="Normal"/>
        <w:spacing w:lineRule="auto" w:line="360"/>
        <w:jc w:val="both"/>
        <w:rPr>
          <w:rFonts w:cs="Arial"/>
          <w:sz w:val="23"/>
          <w:szCs w:val="23"/>
          <w:lang w:val="it-IT"/>
        </w:rPr>
      </w:pPr>
      <w:r>
        <w:rPr>
          <w:rFonts w:cs="Arial"/>
          <w:sz w:val="23"/>
          <w:szCs w:val="23"/>
          <w:lang w:val="it-IT"/>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pPr>
        <w:pStyle w:val="Normal"/>
        <w:widowControl/>
        <w:tabs>
          <w:tab w:val="left" w:pos="0" w:leader="none"/>
        </w:tabs>
        <w:spacing w:lineRule="auto" w:line="360" w:before="0" w:after="0"/>
        <w:jc w:val="left"/>
        <w:rPr>
          <w:rFonts w:cs="Tahoma"/>
          <w:sz w:val="23"/>
          <w:szCs w:val="23"/>
        </w:rPr>
      </w:pPr>
      <w:r>
        <w:rPr>
          <w:rFonts w:cs="Tahoma"/>
          <w:sz w:val="23"/>
          <w:szCs w:val="23"/>
        </w:rPr>
      </w:r>
    </w:p>
    <w:p>
      <w:pPr>
        <w:pStyle w:val="Normal"/>
        <w:widowControl/>
        <w:tabs>
          <w:tab w:val="left" w:pos="0" w:leader="none"/>
        </w:tabs>
        <w:spacing w:lineRule="auto" w:line="360" w:before="0" w:after="0"/>
        <w:ind w:left="454" w:right="0" w:hanging="0"/>
        <w:jc w:val="left"/>
        <w:rPr>
          <w:rFonts w:cs="Tahoma"/>
          <w:sz w:val="23"/>
          <w:szCs w:val="23"/>
        </w:rPr>
      </w:pPr>
      <w:r>
        <w:rPr>
          <w:rFonts w:cs="Tahoma"/>
          <w:sz w:val="23"/>
          <w:szCs w:val="23"/>
        </w:rPr>
      </w:r>
    </w:p>
    <w:p>
      <w:pPr>
        <w:pStyle w:val="Normal"/>
        <w:tabs>
          <w:tab w:val="left" w:pos="454" w:leader="none"/>
          <w:tab w:val="left" w:pos="1446" w:leader="none"/>
        </w:tabs>
        <w:spacing w:lineRule="auto" w:line="276"/>
        <w:ind w:left="454" w:right="0" w:hanging="0"/>
        <w:jc w:val="left"/>
        <w:rPr>
          <w:sz w:val="23"/>
          <w:szCs w:val="23"/>
        </w:rPr>
      </w:pPr>
      <w:r>
        <w:rPr>
          <w:sz w:val="23"/>
          <w:szCs w:val="23"/>
        </w:rPr>
      </w:r>
    </w:p>
    <w:p>
      <w:pPr>
        <w:pStyle w:val="Normal"/>
        <w:tabs>
          <w:tab w:val="left" w:pos="454" w:leader="none"/>
          <w:tab w:val="left" w:pos="1446" w:leader="none"/>
        </w:tabs>
        <w:ind w:left="454" w:right="0" w:hanging="0"/>
        <w:jc w:val="both"/>
        <w:rPr>
          <w:rFonts w:cs="Tahoma"/>
          <w:b/>
          <w:sz w:val="23"/>
          <w:szCs w:val="23"/>
        </w:rPr>
      </w:pPr>
      <w:r>
        <w:rPr>
          <w:rFonts w:cs="Tahoma"/>
          <w:b/>
          <w:sz w:val="23"/>
          <w:szCs w:val="23"/>
        </w:rPr>
      </w:r>
    </w:p>
    <w:p>
      <w:pPr>
        <w:pStyle w:val="Normal"/>
        <w:widowControl/>
        <w:tabs>
          <w:tab w:val="left" w:pos="0" w:leader="none"/>
        </w:tabs>
        <w:spacing w:lineRule="auto" w:line="360"/>
        <w:jc w:val="both"/>
        <w:rPr>
          <w:rFonts w:cs="Tahoma"/>
          <w:sz w:val="23"/>
          <w:szCs w:val="23"/>
        </w:rPr>
      </w:pPr>
      <w:r>
        <w:rPr>
          <w:rFonts w:cs="Tahoma"/>
          <w:sz w:val="23"/>
          <w:szCs w:val="23"/>
        </w:rPr>
        <w:t>Luogo e data</w:t>
      </w:r>
    </w:p>
    <w:p>
      <w:pPr>
        <w:pStyle w:val="Normal"/>
        <w:widowControl/>
        <w:tabs>
          <w:tab w:val="left" w:pos="0" w:leader="none"/>
        </w:tabs>
        <w:jc w:val="center"/>
        <w:rPr>
          <w:rFonts w:cs="Tahoma"/>
          <w:sz w:val="23"/>
          <w:szCs w:val="23"/>
        </w:rPr>
      </w:pPr>
      <w:r>
        <w:rPr>
          <w:rFonts w:cs="Tahoma"/>
          <w:sz w:val="23"/>
          <w:szCs w:val="23"/>
        </w:rPr>
        <w:tab/>
        <w:tab/>
        <w:tab/>
        <w:tab/>
        <w:tab/>
        <w:tab/>
        <w:tab/>
        <w:tab/>
        <w:t xml:space="preserve">        IL RICHIEDENTE</w:t>
      </w:r>
    </w:p>
    <w:p>
      <w:pPr>
        <w:pStyle w:val="Normal"/>
        <w:widowControl/>
        <w:tabs>
          <w:tab w:val="left" w:pos="0" w:leader="none"/>
        </w:tabs>
        <w:rPr>
          <w:sz w:val="23"/>
          <w:szCs w:val="23"/>
        </w:rPr>
      </w:pPr>
      <w:r>
        <w:rPr>
          <w:sz w:val="23"/>
          <w:szCs w:val="23"/>
        </w:rPr>
      </w:r>
    </w:p>
    <w:p>
      <w:pPr>
        <w:pStyle w:val="Normal"/>
        <w:widowControl/>
        <w:tabs>
          <w:tab w:val="left" w:pos="0" w:leader="none"/>
        </w:tabs>
        <w:spacing w:lineRule="auto" w:line="360"/>
        <w:jc w:val="right"/>
        <w:rPr>
          <w:rFonts w:cs="Tahoma"/>
          <w:sz w:val="23"/>
          <w:szCs w:val="23"/>
        </w:rPr>
      </w:pPr>
      <w:r>
        <w:rPr>
          <w:rFonts w:cs="Tahoma"/>
          <w:sz w:val="23"/>
          <w:szCs w:val="23"/>
        </w:rPr>
      </w:r>
    </w:p>
    <w:p>
      <w:pPr>
        <w:pStyle w:val="Normal"/>
        <w:widowControl/>
        <w:tabs>
          <w:tab w:val="left" w:pos="0" w:leader="none"/>
        </w:tabs>
        <w:spacing w:lineRule="auto" w:line="360"/>
        <w:jc w:val="right"/>
        <w:rPr>
          <w:rFonts w:cs="Tahoma"/>
          <w:sz w:val="23"/>
          <w:szCs w:val="23"/>
        </w:rPr>
      </w:pPr>
      <w:r>
        <w:rPr>
          <w:rFonts w:cs="Tahoma"/>
          <w:sz w:val="23"/>
          <w:szCs w:val="23"/>
        </w:rPr>
        <w:t>___________________________</w:t>
      </w:r>
    </w:p>
    <w:p>
      <w:pPr>
        <w:pStyle w:val="Normal"/>
        <w:widowControl/>
        <w:tabs>
          <w:tab w:val="left" w:pos="0" w:leader="none"/>
        </w:tabs>
        <w:spacing w:lineRule="auto" w:line="360"/>
        <w:jc w:val="right"/>
        <w:rPr>
          <w:rFonts w:cs="Tahoma"/>
          <w:sz w:val="23"/>
          <w:szCs w:val="23"/>
        </w:rPr>
      </w:pPr>
      <w:r>
        <w:rPr>
          <w:rFonts w:cs="Tahoma"/>
          <w:sz w:val="23"/>
          <w:szCs w:val="23"/>
        </w:rPr>
        <w:t>(firmato digitalmente)</w:t>
      </w:r>
    </w:p>
    <w:p>
      <w:pPr>
        <w:pStyle w:val="Normal"/>
        <w:widowControl/>
        <w:tabs>
          <w:tab w:val="left" w:pos="0" w:leader="none"/>
        </w:tabs>
        <w:spacing w:lineRule="auto" w:line="360"/>
        <w:jc w:val="right"/>
        <w:rPr>
          <w:sz w:val="23"/>
          <w:szCs w:val="23"/>
        </w:rPr>
      </w:pPr>
      <w:r>
        <w:rPr>
          <w:sz w:val="23"/>
          <w:szCs w:val="23"/>
        </w:rPr>
      </w:r>
    </w:p>
    <w:p>
      <w:pPr>
        <w:pStyle w:val="Normal"/>
        <w:widowControl w:val="false"/>
        <w:tabs>
          <w:tab w:val="left" w:pos="142" w:leader="none"/>
        </w:tabs>
        <w:jc w:val="both"/>
        <w:rPr>
          <w:b/>
          <w:i/>
          <w:sz w:val="23"/>
          <w:szCs w:val="23"/>
          <w:u w:val="single"/>
        </w:rPr>
      </w:pPr>
      <w:r>
        <w:rPr>
          <w:b/>
          <w:i/>
          <w:sz w:val="23"/>
          <w:szCs w:val="23"/>
          <w:u w:val="single"/>
        </w:rPr>
      </w:r>
    </w:p>
    <w:p>
      <w:pPr>
        <w:pStyle w:val="Normal"/>
        <w:widowControl w:val="false"/>
        <w:tabs>
          <w:tab w:val="left" w:pos="142" w:leader="none"/>
        </w:tabs>
        <w:spacing w:lineRule="auto" w:line="360"/>
        <w:ind w:left="0" w:right="0" w:hanging="0"/>
        <w:jc w:val="both"/>
        <w:rPr>
          <w:rFonts w:cs="Arial"/>
          <w:b/>
          <w:sz w:val="23"/>
          <w:szCs w:val="23"/>
          <w:lang w:val="it-IT"/>
        </w:rPr>
      </w:pPr>
      <w:r>
        <w:rPr>
          <w:rFonts w:cs="Arial"/>
          <w:b/>
          <w:i/>
          <w:sz w:val="23"/>
          <w:szCs w:val="23"/>
          <w:u w:val="single"/>
          <w:lang w:val="it-IT"/>
        </w:rPr>
        <w:t>N.B.</w:t>
      </w:r>
      <w:r>
        <w:rPr>
          <w:rFonts w:cs="Arial"/>
          <w:b/>
          <w:sz w:val="23"/>
          <w:szCs w:val="23"/>
          <w:lang w:val="it-IT"/>
        </w:rPr>
        <w:t>: Si riporta di seguito il testo aggiornato dell'art. 80 D. Lgs. 50/2016 come modificato dal D.L. 18 aprile 2019 n. 32.</w:t>
      </w:r>
    </w:p>
    <w:p>
      <w:pPr>
        <w:pStyle w:val="Normal"/>
        <w:jc w:val="center"/>
        <w:rPr>
          <w:b/>
          <w:i w:val="false"/>
          <w:iCs w:val="false"/>
          <w:sz w:val="20"/>
          <w:szCs w:val="20"/>
        </w:rPr>
      </w:pPr>
      <w:r>
        <w:rPr>
          <w:b/>
          <w:i w:val="false"/>
          <w:iCs w:val="false"/>
          <w:sz w:val="20"/>
          <w:szCs w:val="20"/>
        </w:rPr>
        <w:t>Decreto legislativo 18 aprile 2016, n. 50</w:t>
      </w:r>
    </w:p>
    <w:p>
      <w:pPr>
        <w:pStyle w:val="Normal"/>
        <w:jc w:val="center"/>
        <w:rPr>
          <w:i w:val="false"/>
          <w:iCs w:val="false"/>
          <w:sz w:val="20"/>
          <w:szCs w:val="20"/>
        </w:rPr>
      </w:pPr>
      <w:r>
        <w:rPr>
          <w:i w:val="false"/>
          <w:iCs w:val="false"/>
          <w:sz w:val="20"/>
          <w:szCs w:val="20"/>
        </w:rPr>
        <w:t>Codice dei contratti pubblici</w:t>
      </w:r>
    </w:p>
    <w:p>
      <w:pPr>
        <w:pStyle w:val="Normal"/>
        <w:jc w:val="center"/>
        <w:rPr>
          <w:b/>
          <w:i w:val="false"/>
          <w:iCs w:val="false"/>
          <w:sz w:val="20"/>
          <w:szCs w:val="20"/>
        </w:rPr>
      </w:pPr>
      <w:r>
        <w:rPr>
          <w:b/>
          <w:i w:val="false"/>
          <w:iCs w:val="false"/>
          <w:sz w:val="20"/>
          <w:szCs w:val="20"/>
        </w:rPr>
      </w:r>
    </w:p>
    <w:p>
      <w:pPr>
        <w:pStyle w:val="Corpodeltesto"/>
        <w:jc w:val="both"/>
        <w:rPr>
          <w:b/>
          <w:sz w:val="20"/>
          <w:szCs w:val="20"/>
        </w:rPr>
      </w:pPr>
      <w:r>
        <w:rPr>
          <w:b/>
          <w:sz w:val="20"/>
          <w:szCs w:val="20"/>
        </w:rPr>
      </w:r>
    </w:p>
    <w:p>
      <w:pPr>
        <w:pStyle w:val="Corpodeltesto"/>
        <w:jc w:val="both"/>
        <w:rPr>
          <w:b/>
          <w:sz w:val="20"/>
          <w:szCs w:val="20"/>
        </w:rPr>
      </w:pPr>
      <w:bookmarkStart w:id="35" w:name="080"/>
      <w:bookmarkEnd w:id="35"/>
      <w:r>
        <w:rPr>
          <w:b/>
          <w:sz w:val="20"/>
          <w:szCs w:val="20"/>
        </w:rPr>
        <w:t>Art. 80. (Motivi di esclusione) (ultimo aggiornamento: decreto-legge 18 aprile 2019, n. 32)</w:t>
      </w:r>
    </w:p>
    <w:p>
      <w:pPr>
        <w:pStyle w:val="Corpodeltesto"/>
        <w:jc w:val="both"/>
        <w:rPr>
          <w:sz w:val="20"/>
          <w:szCs w:val="20"/>
        </w:rPr>
      </w:pPr>
      <w:r>
        <w:rPr>
          <w:sz w:val="20"/>
          <w:szCs w:val="20"/>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w:t>
      </w:r>
      <w:r>
        <w:fldChar w:fldCharType="begin"/>
      </w:r>
      <w:r>
        <w:instrText> HYPERLINK "http://www.bosettiegatti.eu/info/norme/statali/codiceprocedurapenale.htm" \l "444"</w:instrText>
      </w:r>
      <w:r>
        <w:fldChar w:fldCharType="separate"/>
      </w:r>
      <w:r>
        <w:rPr>
          <w:rStyle w:val="CollegamentoInternet"/>
          <w:sz w:val="20"/>
          <w:szCs w:val="20"/>
        </w:rPr>
        <w:t>articolo 444 del codice di procedura penale</w:t>
      </w:r>
      <w:r>
        <w:fldChar w:fldCharType="end"/>
      </w:r>
      <w:r>
        <w:rPr>
          <w:sz w:val="20"/>
          <w:szCs w:val="20"/>
        </w:rPr>
        <w:t>,</w:t>
      </w:r>
      <w:r>
        <w:rPr>
          <w:strike/>
          <w:sz w:val="20"/>
          <w:szCs w:val="20"/>
        </w:rPr>
        <w:t xml:space="preserve"> anche riferita a un suo subappaltatore nei casi di cui all'</w:t>
      </w:r>
      <w:r>
        <w:fldChar w:fldCharType="begin"/>
      </w:r>
      <w:r>
        <w:instrText> HYPERLINK "http://www.bosettiegatti.eu/info/norme/statali/2016_0050.htm" \l "105"</w:instrText>
      </w:r>
      <w:r>
        <w:fldChar w:fldCharType="separate"/>
      </w:r>
      <w:r>
        <w:rPr>
          <w:rStyle w:val="CollegamentoInternet"/>
          <w:strike/>
          <w:sz w:val="20"/>
          <w:szCs w:val="20"/>
        </w:rPr>
        <w:t>articolo 105, comma 6</w:t>
      </w:r>
      <w:r>
        <w:fldChar w:fldCharType="end"/>
      </w:r>
      <w:r>
        <w:rPr>
          <w:strike/>
          <w:sz w:val="20"/>
          <w:szCs w:val="20"/>
        </w:rPr>
        <w:t>,</w:t>
      </w:r>
      <w:r>
        <w:rPr>
          <w:sz w:val="20"/>
          <w:szCs w:val="20"/>
        </w:rPr>
        <w:t xml:space="preserve"> per uno dei seguenti reati: </w:t>
      </w:r>
    </w:p>
    <w:p>
      <w:pPr>
        <w:pStyle w:val="Citazione"/>
        <w:jc w:val="both"/>
        <w:rPr>
          <w:sz w:val="20"/>
          <w:szCs w:val="20"/>
        </w:rPr>
      </w:pPr>
      <w:r>
        <w:rPr>
          <w:sz w:val="20"/>
          <w:szCs w:val="20"/>
        </w:rPr>
        <w:t xml:space="preserve">a) delitti, consumati o tentati, di cui agli </w:t>
      </w:r>
      <w:r>
        <w:fldChar w:fldCharType="begin"/>
      </w:r>
      <w:r>
        <w:instrText> HYPERLINK "http://www.bosettiegatti.eu/info/norme/statali/codicepenale.htm" \l "416"</w:instrText>
      </w:r>
      <w:r>
        <w:fldChar w:fldCharType="separate"/>
      </w:r>
      <w:r>
        <w:rPr>
          <w:rStyle w:val="CollegamentoInternet"/>
          <w:sz w:val="20"/>
          <w:szCs w:val="20"/>
        </w:rPr>
        <w:t>articoli 416, 416-bis del codice penale</w:t>
      </w:r>
      <w:r>
        <w:fldChar w:fldCharType="end"/>
      </w:r>
      <w:r>
        <w:rPr>
          <w:sz w:val="20"/>
          <w:szCs w:val="20"/>
        </w:rPr>
        <w:t xml:space="preserve"> ovvero delitti commessi avvalendosi delle condizioni previste dal predetto </w:t>
      </w:r>
      <w:r>
        <w:fldChar w:fldCharType="begin"/>
      </w:r>
      <w:r>
        <w:instrText> HYPERLINK "http://www.bosettiegatti.eu/info/norme/statali/codicepenale.htm" \l "416-bis"</w:instrText>
      </w:r>
      <w:r>
        <w:fldChar w:fldCharType="separate"/>
      </w:r>
      <w:r>
        <w:rPr>
          <w:rStyle w:val="CollegamentoInternet"/>
          <w:sz w:val="20"/>
          <w:szCs w:val="20"/>
        </w:rPr>
        <w:t>articolo 416-bis</w:t>
      </w:r>
      <w:r>
        <w:fldChar w:fldCharType="end"/>
      </w:r>
      <w:r>
        <w:rPr>
          <w:sz w:val="20"/>
          <w:szCs w:val="20"/>
        </w:rPr>
        <w:t xml:space="preserve"> ovvero al fine di agevolare l'attività delle associazioni previste dallo stesso articolo, nonché per i delitti, consumati o tentati, previsti dall'</w:t>
      </w:r>
      <w:r>
        <w:fldChar w:fldCharType="begin"/>
      </w:r>
      <w:r>
        <w:instrText> HYPERLINK "http://www.bosettiegatti.eu/info/norme/statali/2016_0050.htm" \l "y_1990_0309"</w:instrText>
      </w:r>
      <w:r>
        <w:fldChar w:fldCharType="separate"/>
      </w:r>
      <w:r>
        <w:rPr>
          <w:rStyle w:val="CollegamentoInternet"/>
          <w:sz w:val="20"/>
          <w:szCs w:val="20"/>
        </w:rPr>
        <w:t>articolo 74 del decreto del Presidente della Repubblica 9 ottobre 1990, n. 309</w:t>
      </w:r>
      <w:r>
        <w:fldChar w:fldCharType="end"/>
      </w:r>
      <w:r>
        <w:rPr>
          <w:sz w:val="20"/>
          <w:szCs w:val="20"/>
        </w:rPr>
        <w:t>, dall’</w:t>
      </w:r>
      <w:r>
        <w:fldChar w:fldCharType="begin"/>
      </w:r>
      <w:r>
        <w:instrText> HYPERLINK "http://www.bosettiegatti.eu/info/norme/statali/2016_0050.htm" \l "y_1973_0043"</w:instrText>
      </w:r>
      <w:r>
        <w:fldChar w:fldCharType="separate"/>
      </w:r>
      <w:r>
        <w:rPr>
          <w:rStyle w:val="CollegamentoInternet"/>
          <w:sz w:val="20"/>
          <w:szCs w:val="20"/>
        </w:rPr>
        <w:t>articolo 291-quater del decreto del Presidente della Repubblica 23 gennaio 1973, n. 43</w:t>
      </w:r>
      <w:r>
        <w:fldChar w:fldCharType="end"/>
      </w:r>
      <w:r>
        <w:rPr>
          <w:sz w:val="20"/>
          <w:szCs w:val="20"/>
        </w:rPr>
        <w:t xml:space="preserve"> e dall'</w:t>
      </w:r>
      <w:r>
        <w:fldChar w:fldCharType="begin"/>
      </w:r>
      <w:r>
        <w:instrText> HYPERLINK "http://www.bosettiegatti.eu/info/norme/statali/2006_0152.htm" \l "260"</w:instrText>
      </w:r>
      <w:r>
        <w:fldChar w:fldCharType="separate"/>
      </w:r>
      <w:r>
        <w:rPr>
          <w:rStyle w:val="CollegamentoInternet"/>
          <w:sz w:val="20"/>
          <w:szCs w:val="20"/>
        </w:rPr>
        <w:t>articolo 260 del decreto legislativo 3 aprile 2006, n. 152</w:t>
      </w:r>
      <w:r>
        <w:fldChar w:fldCharType="end"/>
      </w:r>
      <w:r>
        <w:rPr>
          <w:sz w:val="20"/>
          <w:szCs w:val="20"/>
        </w:rPr>
        <w:t xml:space="preserve">, in quanto riconducibili alla partecipazione a un'organizzazione criminale, quale definita all'articolo 2 della decisione quadro 2008/841/GAI del Consiglio; </w:t>
        <w:br/>
        <w:t xml:space="preserve">b) delitti, consumati o tentati, di cui agli </w:t>
      </w:r>
      <w:r>
        <w:fldChar w:fldCharType="begin"/>
      </w:r>
      <w:r>
        <w:instrText> HYPERLINK "http://www.bosettiegatti.eu/info/norme/statali/codicepenale.htm" \l "317"</w:instrText>
      </w:r>
      <w:r>
        <w:fldChar w:fldCharType="separate"/>
      </w:r>
      <w:r>
        <w:rPr>
          <w:rStyle w:val="CollegamentoInternet"/>
          <w:sz w:val="20"/>
          <w:szCs w:val="20"/>
        </w:rPr>
        <w:t>articoli 317, 318, 319, 319-ter, 319-quater, 320, 321, 322, 322-bis</w:t>
      </w:r>
      <w:r>
        <w:fldChar w:fldCharType="end"/>
      </w:r>
      <w:r>
        <w:rPr>
          <w:sz w:val="20"/>
          <w:szCs w:val="20"/>
        </w:rPr>
        <w:t xml:space="preserve">, </w:t>
      </w:r>
      <w:r>
        <w:fldChar w:fldCharType="begin"/>
      </w:r>
      <w:r>
        <w:instrText> HYPERLINK "http://www.bosettiegatti.eu/info/norme/statali/codicepenale.htm" \l "346-bis"</w:instrText>
      </w:r>
      <w:r>
        <w:fldChar w:fldCharType="separate"/>
      </w:r>
      <w:r>
        <w:rPr>
          <w:rStyle w:val="CollegamentoInternet"/>
          <w:sz w:val="20"/>
          <w:szCs w:val="20"/>
        </w:rPr>
        <w:t>346-bis</w:t>
      </w:r>
      <w:r>
        <w:fldChar w:fldCharType="end"/>
      </w:r>
      <w:r>
        <w:rPr>
          <w:sz w:val="20"/>
          <w:szCs w:val="20"/>
        </w:rPr>
        <w:t xml:space="preserve">, </w:t>
      </w:r>
      <w:r>
        <w:fldChar w:fldCharType="begin"/>
      </w:r>
      <w:r>
        <w:instrText> HYPERLINK "http://www.bosettiegatti.eu/info/norme/statali/codicepenale.htm" \l "353"</w:instrText>
      </w:r>
      <w:r>
        <w:fldChar w:fldCharType="separate"/>
      </w:r>
      <w:r>
        <w:rPr>
          <w:rStyle w:val="CollegamentoInternet"/>
          <w:sz w:val="20"/>
          <w:szCs w:val="20"/>
        </w:rPr>
        <w:t>353, 353-bis, 354, 355 e 356 del codice penale</w:t>
      </w:r>
      <w:r>
        <w:fldChar w:fldCharType="end"/>
      </w:r>
      <w:r>
        <w:rPr>
          <w:sz w:val="20"/>
          <w:szCs w:val="20"/>
        </w:rPr>
        <w:t xml:space="preserve"> nonché all’</w:t>
      </w:r>
      <w:r>
        <w:fldChar w:fldCharType="begin"/>
      </w:r>
      <w:r>
        <w:instrText> HYPERLINK "http://www.bosettiegatti.eu/info/norme/statali/codicecivile.htm" \l "2635"</w:instrText>
      </w:r>
      <w:r>
        <w:fldChar w:fldCharType="separate"/>
      </w:r>
      <w:r>
        <w:rPr>
          <w:rStyle w:val="CollegamentoInternet"/>
          <w:sz w:val="20"/>
          <w:szCs w:val="20"/>
        </w:rPr>
        <w:t>articolo 2635 del codice civile</w:t>
      </w:r>
      <w:r>
        <w:fldChar w:fldCharType="end"/>
      </w:r>
      <w:r>
        <w:rPr>
          <w:sz w:val="20"/>
          <w:szCs w:val="20"/>
        </w:rPr>
        <w:t xml:space="preserve">; </w:t>
        <w:br/>
        <w:t xml:space="preserve">b-bis) false comunicazioni sociali di cui agli </w:t>
      </w:r>
      <w:r>
        <w:fldChar w:fldCharType="begin"/>
      </w:r>
      <w:r>
        <w:instrText> HYPERLINK "http://www.bosettiegatti.eu/info/norme/statali/codicecivile.htm" \l "2621"</w:instrText>
      </w:r>
      <w:r>
        <w:fldChar w:fldCharType="separate"/>
      </w:r>
      <w:r>
        <w:rPr>
          <w:rStyle w:val="CollegamentoInternet"/>
          <w:sz w:val="20"/>
          <w:szCs w:val="20"/>
        </w:rPr>
        <w:t>articoli 2621 e 2622 del codice civile</w:t>
      </w:r>
      <w:r>
        <w:fldChar w:fldCharType="end"/>
      </w:r>
      <w:r>
        <w:rPr>
          <w:sz w:val="20"/>
          <w:szCs w:val="20"/>
        </w:rPr>
        <w:t>;</w:t>
        <w:br/>
        <w:t xml:space="preserve">c) frode ai sensi dell'articolo 1 della convenzione relativa alla tutela degli interessi finanziari delle Comunità europee; </w:t>
        <w:br/>
        <w:t xml:space="preserve">d) delitti, consumati o tentati, commessi con finalità di terrorismo, anche internazionale, e di eversione dell'ordine costituzionale reati terroristici o reati connessi alle attività terroristiche; </w:t>
        <w:br/>
        <w:t xml:space="preserve">e) delitti di cui agli </w:t>
      </w:r>
      <w:r>
        <w:fldChar w:fldCharType="begin"/>
      </w:r>
      <w:r>
        <w:instrText> HYPERLINK "http://www.bosettiegatti.eu/info/norme/statali/codicepenale.htm" \l "648-bis"</w:instrText>
      </w:r>
      <w:r>
        <w:fldChar w:fldCharType="separate"/>
      </w:r>
      <w:r>
        <w:rPr>
          <w:rStyle w:val="CollegamentoInternet"/>
          <w:sz w:val="20"/>
          <w:szCs w:val="20"/>
        </w:rPr>
        <w:t>articoli 648-bis, 648-ter e 648-ter.1 del codice penale</w:t>
      </w:r>
      <w:r>
        <w:fldChar w:fldCharType="end"/>
      </w:r>
      <w:r>
        <w:rPr>
          <w:sz w:val="20"/>
          <w:szCs w:val="20"/>
        </w:rPr>
        <w:t>, riciclaggio di proventi di attività criminose o finanziamento del terrorismo, quali definiti all'</w:t>
      </w:r>
      <w:r>
        <w:fldChar w:fldCharType="begin"/>
      </w:r>
      <w:r>
        <w:instrText> HYPERLINK "http://www.bosettiegatti.eu/info/norme/statali/2016_0050.htm" \l "y_2007_0109"</w:instrText>
      </w:r>
      <w:r>
        <w:fldChar w:fldCharType="separate"/>
      </w:r>
      <w:r>
        <w:rPr>
          <w:rStyle w:val="CollegamentoInternet"/>
          <w:sz w:val="20"/>
          <w:szCs w:val="20"/>
        </w:rPr>
        <w:t>articolo 1 del decreto legislativo 22 giugno 2007, n. 109</w:t>
      </w:r>
      <w:r>
        <w:fldChar w:fldCharType="end"/>
      </w:r>
      <w:r>
        <w:rPr>
          <w:sz w:val="20"/>
          <w:szCs w:val="20"/>
        </w:rPr>
        <w:t xml:space="preserve"> e successive modificazioni; </w:t>
        <w:br/>
        <w:t xml:space="preserve">f) sfruttamento del lavoro minorile e altre forme di tratta di esseri umani definite con il decreto legislativo 4 marzo 2014, n. 24; </w:t>
        <w:br/>
        <w:t>g) ogni altro delitto da cui derivi, quale pena accessoria, l'incapacità di contrattare con la pubblica amministrazione.</w:t>
      </w:r>
    </w:p>
    <w:p>
      <w:pPr>
        <w:pStyle w:val="Corpodeltesto"/>
        <w:jc w:val="both"/>
        <w:rPr>
          <w:b/>
          <w:sz w:val="20"/>
          <w:szCs w:val="20"/>
        </w:rPr>
      </w:pPr>
      <w:r>
        <w:rPr>
          <w:sz w:val="20"/>
          <w:szCs w:val="20"/>
        </w:rPr>
        <w:t>2. Costituisce altresì motivo di esclusione la sussistenza, con riferimento ai soggetti indicati al comma 3, di cause di decadenza, di sospensione o di divieto previste dall'</w:t>
      </w:r>
      <w:r>
        <w:fldChar w:fldCharType="begin"/>
      </w:r>
      <w:r>
        <w:instrText> HYPERLINK "http://www.bosettiegatti.eu/info/norme/statali/2011_0159.htm" \l "067"</w:instrText>
      </w:r>
      <w:r>
        <w:fldChar w:fldCharType="separate"/>
      </w:r>
      <w:r>
        <w:rPr>
          <w:rStyle w:val="CollegamentoInternet"/>
          <w:sz w:val="20"/>
          <w:szCs w:val="20"/>
        </w:rPr>
        <w:t>articolo 67 del decreto legislativo 6 settembre 2011, n. 159</w:t>
      </w:r>
      <w:r>
        <w:fldChar w:fldCharType="end"/>
      </w:r>
      <w:r>
        <w:rPr>
          <w:sz w:val="20"/>
          <w:szCs w:val="20"/>
        </w:rPr>
        <w:t xml:space="preserve"> o di un tentativo di infiltrazione mafiosa di cui all'</w:t>
      </w:r>
      <w:r>
        <w:fldChar w:fldCharType="begin"/>
      </w:r>
      <w:r>
        <w:instrText> HYPERLINK "http://www.bosettiegatti.eu/info/norme/statali/2011_0159.htm" \l "084"</w:instrText>
      </w:r>
      <w:r>
        <w:fldChar w:fldCharType="separate"/>
      </w:r>
      <w:r>
        <w:rPr>
          <w:rStyle w:val="CollegamentoInternet"/>
          <w:sz w:val="20"/>
          <w:szCs w:val="20"/>
        </w:rPr>
        <w:t>articolo 84, comma 4, del medesimo decreto</w:t>
      </w:r>
      <w:r>
        <w:fldChar w:fldCharType="end"/>
      </w:r>
      <w:r>
        <w:rPr>
          <w:sz w:val="20"/>
          <w:szCs w:val="20"/>
        </w:rPr>
        <w:t xml:space="preserve">. Resta fermo quanto previsto dagli </w:t>
      </w:r>
      <w:r>
        <w:fldChar w:fldCharType="begin"/>
      </w:r>
      <w:r>
        <w:instrText> HYPERLINK "http://www.bosettiegatti.eu/info/norme/statali/2011_0159.htm" \l "088"</w:instrText>
      </w:r>
      <w:r>
        <w:fldChar w:fldCharType="separate"/>
      </w:r>
      <w:r>
        <w:rPr>
          <w:rStyle w:val="CollegamentoInternet"/>
          <w:sz w:val="20"/>
          <w:szCs w:val="20"/>
        </w:rPr>
        <w:t>articoli 88, comma 4-bis</w:t>
      </w:r>
      <w:r>
        <w:fldChar w:fldCharType="end"/>
      </w:r>
      <w:r>
        <w:rPr>
          <w:sz w:val="20"/>
          <w:szCs w:val="20"/>
        </w:rPr>
        <w:t xml:space="preserve">, e </w:t>
      </w:r>
      <w:r>
        <w:fldChar w:fldCharType="begin"/>
      </w:r>
      <w:r>
        <w:instrText> HYPERLINK "http://www.bosettiegatti.eu/info/norme/statali/2011_0159.htm" \l "092"</w:instrText>
      </w:r>
      <w:r>
        <w:fldChar w:fldCharType="separate"/>
      </w:r>
      <w:r>
        <w:rPr>
          <w:rStyle w:val="CollegamentoInternet"/>
          <w:sz w:val="20"/>
          <w:szCs w:val="20"/>
        </w:rPr>
        <w:t>92, commi 2 e 3, del decreto legislativo 6 settembre 2011, n. 159</w:t>
      </w:r>
      <w:r>
        <w:fldChar w:fldCharType="end"/>
      </w:r>
      <w:r>
        <w:rPr>
          <w:sz w:val="20"/>
          <w:szCs w:val="20"/>
        </w:rPr>
        <w:t xml:space="preserve">, con riferimento rispettivamente alle comunicazioni antimafia e alle informazioni antimafia. </w:t>
      </w:r>
      <w:r>
        <w:rPr>
          <w:b/>
          <w:sz w:val="20"/>
          <w:szCs w:val="20"/>
        </w:rPr>
        <w:t>Resta fermo altresì quanto previsto dall’</w:t>
      </w:r>
      <w:r>
        <w:fldChar w:fldCharType="begin"/>
      </w:r>
      <w:r>
        <w:instrText> HYPERLINK "http://www.bosettiegatti.eu/info/norme/statali/2011_0159.htm" \l "034-bis"</w:instrText>
      </w:r>
      <w:r>
        <w:fldChar w:fldCharType="separate"/>
      </w:r>
      <w:r>
        <w:rPr>
          <w:rStyle w:val="CollegamentoInternet"/>
          <w:b/>
          <w:sz w:val="20"/>
          <w:szCs w:val="20"/>
        </w:rPr>
        <w:t>articolo</w:t>
      </w:r>
      <w:r>
        <w:fldChar w:fldCharType="end"/>
      </w:r>
      <w:r>
        <w:fldChar w:fldCharType="begin"/>
      </w:r>
      <w:r>
        <w:instrText> HYPERLINK "http://www.bosettiegatti.eu/info/norme/statali/2011_0159.htm" \l "034-bis"</w:instrText>
      </w:r>
      <w:r>
        <w:fldChar w:fldCharType="separate"/>
      </w:r>
      <w:r>
        <w:rPr>
          <w:rStyle w:val="CollegamentoInternet"/>
          <w:sz w:val="20"/>
          <w:szCs w:val="20"/>
        </w:rPr>
        <w:t xml:space="preserve"> </w:t>
      </w:r>
      <w:r>
        <w:fldChar w:fldCharType="end"/>
      </w:r>
      <w:r>
        <w:fldChar w:fldCharType="begin"/>
      </w:r>
      <w:r>
        <w:instrText> HYPERLINK "http://www.bosettiegatti.eu/info/norme/statali/2011_0159.htm" \l "034-bis"</w:instrText>
      </w:r>
      <w:r>
        <w:fldChar w:fldCharType="separate"/>
      </w:r>
      <w:r>
        <w:rPr>
          <w:rStyle w:val="CollegamentoInternet"/>
          <w:b/>
          <w:sz w:val="20"/>
          <w:szCs w:val="20"/>
        </w:rPr>
        <w:t>34-bis, commi</w:t>
      </w:r>
      <w:r>
        <w:fldChar w:fldCharType="end"/>
      </w:r>
      <w:r>
        <w:fldChar w:fldCharType="begin"/>
      </w:r>
      <w:r>
        <w:instrText> HYPERLINK "http://www.bosettiegatti.eu/info/norme/statali/2011_0159.htm" \l "034-bis"</w:instrText>
      </w:r>
      <w:r>
        <w:fldChar w:fldCharType="separate"/>
      </w:r>
      <w:r>
        <w:rPr>
          <w:rStyle w:val="CollegamentoInternet"/>
          <w:sz w:val="20"/>
          <w:szCs w:val="20"/>
        </w:rPr>
        <w:t xml:space="preserve"> </w:t>
      </w:r>
      <w:r>
        <w:fldChar w:fldCharType="end"/>
      </w:r>
      <w:r>
        <w:fldChar w:fldCharType="begin"/>
      </w:r>
      <w:r>
        <w:instrText> HYPERLINK "http://www.bosettiegatti.eu/info/norme/statali/2011_0159.htm" \l "034-bis"</w:instrText>
      </w:r>
      <w:r>
        <w:fldChar w:fldCharType="separate"/>
      </w:r>
      <w:r>
        <w:rPr>
          <w:rStyle w:val="CollegamentoInternet"/>
          <w:b/>
          <w:sz w:val="20"/>
          <w:szCs w:val="20"/>
        </w:rPr>
        <w:t>6 e 7, del decreto legislativo 6 settembre 2011, n. 159</w:t>
      </w:r>
      <w:r>
        <w:fldChar w:fldCharType="end"/>
      </w:r>
      <w:r>
        <w:rPr>
          <w:b/>
          <w:sz w:val="20"/>
          <w:szCs w:val="20"/>
        </w:rPr>
        <w:t>.</w:t>
      </w:r>
    </w:p>
    <w:p>
      <w:pPr>
        <w:pStyle w:val="Corpodeltesto"/>
        <w:jc w:val="both"/>
        <w:rPr>
          <w:sz w:val="20"/>
          <w:szCs w:val="20"/>
        </w:rPr>
      </w:pPr>
      <w:r>
        <w:rPr>
          <w:sz w:val="20"/>
          <w:szCs w:val="20"/>
        </w:rPr>
        <w:t xml:space="preserve">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Pr>
          <w:strike/>
          <w:sz w:val="20"/>
          <w:szCs w:val="20"/>
        </w:rPr>
        <w:t>in caso di società con meno di quattro soci</w:t>
      </w:r>
      <w:r>
        <w:rPr>
          <w:sz w:val="20"/>
          <w:szCs w:val="20"/>
        </w:rPr>
        <w:t xml:space="preserve"> </w:t>
      </w:r>
      <w:r>
        <w:rPr>
          <w:b/>
          <w:sz w:val="20"/>
          <w:szCs w:val="20"/>
        </w:rPr>
        <w:t>in caso di società con un numero di soci pari o inferiore a quattro</w:t>
      </w:r>
      <w:r>
        <w:rPr>
          <w:sz w:val="20"/>
          <w:szCs w:val="20"/>
        </w:rPr>
        <w:t xml:space="preserve">,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Pr>
          <w:b/>
          <w:sz w:val="20"/>
          <w:szCs w:val="20"/>
        </w:rPr>
        <w:t>ovvero, nei casi di condanna ad una pena accessoria perpetua, quando questa è stata dichiarata estinta ai sensi dell’</w:t>
      </w:r>
      <w:r>
        <w:fldChar w:fldCharType="begin"/>
      </w:r>
      <w:r>
        <w:instrText> HYPERLINK "http://www.bosettiegatti.eu/info/norme/statali/codicepenale.htm" \l "179"</w:instrText>
      </w:r>
      <w:r>
        <w:fldChar w:fldCharType="separate"/>
      </w:r>
      <w:r>
        <w:rPr>
          <w:rStyle w:val="CollegamentoInternet"/>
          <w:b/>
          <w:sz w:val="20"/>
          <w:szCs w:val="20"/>
        </w:rPr>
        <w:t>articolo 179, settimo comma, del codice penale</w:t>
      </w:r>
      <w:r>
        <w:fldChar w:fldCharType="end"/>
      </w:r>
      <w:r>
        <w:rPr>
          <w:sz w:val="20"/>
          <w:szCs w:val="20"/>
        </w:rPr>
        <w:t xml:space="preserve"> ovvero quando il reato è stato dichiarato estinto dopo la condanna ovvero in caso di revoca della condanna medesima.</w:t>
      </w:r>
    </w:p>
    <w:p>
      <w:pPr>
        <w:pStyle w:val="Corpodeltesto"/>
        <w:jc w:val="both"/>
        <w:rPr>
          <w:b/>
          <w:sz w:val="20"/>
          <w:szCs w:val="20"/>
        </w:rPr>
      </w:pPr>
      <w:r>
        <w:rPr>
          <w:sz w:val="20"/>
          <w:szCs w:val="20"/>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r>
        <w:fldChar w:fldCharType="begin"/>
      </w:r>
      <w:r>
        <w:instrText> HYPERLINK "http://www.bosettiegatti.eu/info/norme/statali/2008_0040.htm" \l "02"</w:instrText>
      </w:r>
      <w:r>
        <w:fldChar w:fldCharType="separate"/>
      </w:r>
      <w:r>
        <w:rPr>
          <w:rStyle w:val="CollegamentoInternet"/>
          <w:sz w:val="20"/>
          <w:szCs w:val="20"/>
        </w:rPr>
        <w:t>articolo 48-bis, commi 1 e 2-bis, del decreto del Presidente della Repubblica 29 settembre 1973, n. 602</w:t>
      </w:r>
      <w:r>
        <w:fldChar w:fldCharType="end"/>
      </w:r>
      <w:r>
        <w:rPr>
          <w:sz w:val="20"/>
          <w:szCs w:val="20"/>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w:t>
      </w:r>
      <w:r>
        <w:fldChar w:fldCharType="begin"/>
      </w:r>
      <w:r>
        <w:instrText> HYPERLINK "http://www.bosettiegatti.eu/info/norme/statali/2015_dm_30_01_DURC.htm" \l "08"</w:instrText>
      </w:r>
      <w:r>
        <w:fldChar w:fldCharType="separate"/>
      </w:r>
      <w:r>
        <w:rPr>
          <w:rStyle w:val="CollegamentoInternet"/>
          <w:sz w:val="20"/>
          <w:szCs w:val="20"/>
        </w:rPr>
        <w:t>articolo 8 del decreto del Ministero del lavoro e delle politiche sociali 30 gennaio 2015, pubblicato sulla Gazzetta Ufficiale n. 125 del 1° giugno 2015</w:t>
      </w:r>
      <w:r>
        <w:fldChar w:fldCharType="end"/>
      </w:r>
      <w:r>
        <w:rPr>
          <w:sz w:val="20"/>
          <w:szCs w:val="20"/>
        </w:rPr>
        <w:t xml:space="preserve">, ovvero delle certificazioni rilasciate dagli enti previdenziali di riferimento non aderenti al sistema dello sportello unico previdenziale. </w:t>
      </w:r>
      <w:r>
        <w:rPr>
          <w:strike/>
          <w:sz w:val="20"/>
          <w:szCs w:val="20"/>
        </w:rPr>
        <w:t>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r>
        <w:rPr>
          <w:sz w:val="20"/>
          <w:szCs w:val="20"/>
        </w:rPr>
        <w:t xml:space="preserve"> </w:t>
      </w:r>
      <w:r>
        <w:rPr>
          <w:b/>
          <w:sz w:val="20"/>
          <w:szCs w:val="20"/>
        </w:rPr>
        <w:t xml:space="preserve">Un operatore economico può essere escluso dalla partecipazione a una procedura d’appalto se la stazione appaltante è a conoscenza e può adeguatamente dimostrare che lo stesso non ha ottemperato agli obblighi relativi al pagamento delle imposte e tasse o dei contributi previdenziali non definitivamente accertati.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 </w:t>
      </w:r>
    </w:p>
    <w:p>
      <w:pPr>
        <w:pStyle w:val="Corpodeltesto"/>
        <w:jc w:val="both"/>
        <w:rPr>
          <w:sz w:val="20"/>
          <w:szCs w:val="20"/>
        </w:rPr>
      </w:pPr>
      <w:bookmarkStart w:id="36" w:name="080.5"/>
      <w:bookmarkEnd w:id="36"/>
      <w:r>
        <w:rPr>
          <w:sz w:val="20"/>
          <w:szCs w:val="20"/>
        </w:rPr>
        <w:t xml:space="preserve">5. Le stazioni appaltanti escludono dalla partecipazione alla procedura d'appalto un operatore economico in una delle seguenti situazioni, </w:t>
      </w:r>
      <w:r>
        <w:rPr>
          <w:strike/>
          <w:sz w:val="20"/>
          <w:szCs w:val="20"/>
        </w:rPr>
        <w:t>anche riferita a un suo subappaltatore nei casi di cui all'</w:t>
      </w:r>
      <w:r>
        <w:fldChar w:fldCharType="begin"/>
      </w:r>
      <w:r>
        <w:instrText> HYPERLINK "http://www.bosettiegatti.eu/info/norme/statali/2016_0050.htm" \l "105"</w:instrText>
      </w:r>
      <w:r>
        <w:fldChar w:fldCharType="separate"/>
      </w:r>
      <w:r>
        <w:rPr>
          <w:rStyle w:val="CollegamentoInternet"/>
          <w:strike/>
          <w:sz w:val="20"/>
          <w:szCs w:val="20"/>
        </w:rPr>
        <w:t>articolo 105, comma 6</w:t>
      </w:r>
      <w:r>
        <w:fldChar w:fldCharType="end"/>
      </w:r>
      <w:r>
        <w:rPr>
          <w:sz w:val="20"/>
          <w:szCs w:val="20"/>
        </w:rPr>
        <w:t xml:space="preserve"> qualora: </w:t>
      </w:r>
    </w:p>
    <w:p>
      <w:pPr>
        <w:pStyle w:val="Citazione"/>
        <w:ind w:left="567" w:right="567" w:hanging="0"/>
        <w:jc w:val="both"/>
        <w:rPr>
          <w:b/>
          <w:sz w:val="20"/>
          <w:szCs w:val="20"/>
        </w:rPr>
      </w:pPr>
      <w:r>
        <w:rPr>
          <w:sz w:val="20"/>
          <w:szCs w:val="20"/>
        </w:rPr>
        <w:t>a) la stazione appaltante possa dimostrare con qualunque mezzo adeguato la presenza di gravi infrazioni debitamente accertate alle norme in materia di salute e sicurezza sul lavoro nonché agli obblighi di cui all'</w:t>
      </w:r>
      <w:r>
        <w:fldChar w:fldCharType="begin"/>
      </w:r>
      <w:r>
        <w:instrText> HYPERLINK "http://www.bosettiegatti.eu/info/norme/statali/2016_0050.htm" \l "030"</w:instrText>
      </w:r>
      <w:r>
        <w:fldChar w:fldCharType="separate"/>
      </w:r>
      <w:r>
        <w:rPr>
          <w:rStyle w:val="CollegamentoInternet"/>
          <w:sz w:val="20"/>
          <w:szCs w:val="20"/>
        </w:rPr>
        <w:t>articolo 30, comma 3</w:t>
      </w:r>
      <w:r>
        <w:fldChar w:fldCharType="end"/>
      </w:r>
      <w:r>
        <w:rPr>
          <w:sz w:val="20"/>
          <w:szCs w:val="20"/>
        </w:rPr>
        <w:t xml:space="preserve"> del presente codice; </w:t>
        <w:br/>
      </w:r>
      <w:r>
        <w:rPr>
          <w:strike/>
          <w:sz w:val="20"/>
          <w:szCs w:val="20"/>
        </w:rPr>
        <w:t>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w:t>
      </w:r>
      <w:r>
        <w:fldChar w:fldCharType="begin"/>
      </w:r>
      <w:r>
        <w:instrText> HYPERLINK "http://www.bosettiegatti.eu/info/norme/statali/2016_0050.htm" \l "110"</w:instrText>
      </w:r>
      <w:r>
        <w:fldChar w:fldCharType="separate"/>
      </w:r>
      <w:r>
        <w:rPr>
          <w:rStyle w:val="CollegamentoInternet"/>
          <w:strike/>
          <w:sz w:val="20"/>
          <w:szCs w:val="20"/>
        </w:rPr>
        <w:t>articolo 110</w:t>
      </w:r>
      <w:r>
        <w:fldChar w:fldCharType="end"/>
      </w:r>
      <w:r>
        <w:rPr>
          <w:strike/>
          <w:sz w:val="20"/>
          <w:szCs w:val="20"/>
        </w:rPr>
        <w:t>;</w:t>
        <w:br/>
      </w:r>
      <w:r>
        <w:rPr>
          <w:b/>
          <w:sz w:val="20"/>
          <w:szCs w:val="20"/>
        </w:rPr>
        <w:t xml:space="preserve">b) l’operatore economico sia stato sottoposto a fallimento o si trovi in stato di liquidazione coatta o di concordato preventivo o sia in corso nei suoi confronti un procedimento per la dichiarazione di una di tali situazioni, fermo restando quanto previsto dagli </w:t>
      </w:r>
      <w:r>
        <w:fldChar w:fldCharType="begin"/>
      </w:r>
      <w:r>
        <w:instrText> HYPERLINK "http://www.bosettiegatti.eu/info/norme/statali/2016_0050.htm" \l "110"</w:instrText>
      </w:r>
      <w:r>
        <w:fldChar w:fldCharType="separate"/>
      </w:r>
      <w:r>
        <w:rPr>
          <w:rStyle w:val="CollegamentoInternet"/>
          <w:b/>
          <w:sz w:val="20"/>
          <w:szCs w:val="20"/>
        </w:rPr>
        <w:t>articoli 110</w:t>
      </w:r>
      <w:r>
        <w:fldChar w:fldCharType="end"/>
      </w:r>
      <w:r>
        <w:rPr>
          <w:b/>
          <w:sz w:val="20"/>
          <w:szCs w:val="20"/>
        </w:rPr>
        <w:t xml:space="preserve"> </w:t>
      </w:r>
      <w:r>
        <w:rPr>
          <w:b w:val="false"/>
          <w:i/>
          <w:caps w:val="false"/>
          <w:smallCaps w:val="false"/>
          <w:strike w:val="false"/>
          <w:dstrike w:val="false"/>
          <w:color w:val="FF0000"/>
          <w:spacing w:val="0"/>
          <w:sz w:val="20"/>
          <w:szCs w:val="20"/>
          <w:u w:val="none"/>
          <w:effect w:val="none"/>
        </w:rPr>
        <w:t>[del presente Codice - n.d.r.]</w:t>
      </w:r>
      <w:r>
        <w:rPr>
          <w:sz w:val="20"/>
          <w:szCs w:val="20"/>
        </w:rPr>
        <w:t xml:space="preserve"> </w:t>
      </w:r>
      <w:r>
        <w:rPr>
          <w:b/>
          <w:sz w:val="20"/>
          <w:szCs w:val="20"/>
        </w:rPr>
        <w:t>e 186-bis del regio decreto 16 marzo 1942, n. 267;</w:t>
      </w:r>
    </w:p>
    <w:p>
      <w:pPr>
        <w:pStyle w:val="Citazione"/>
        <w:ind w:left="567" w:right="567" w:hanging="0"/>
        <w:jc w:val="both"/>
        <w:rPr>
          <w:b w:val="false"/>
          <w:i w:val="false"/>
          <w:caps w:val="false"/>
          <w:smallCaps w:val="false"/>
          <w:strike w:val="false"/>
          <w:dstrike w:val="false"/>
          <w:color w:val="000000"/>
          <w:spacing w:val="0"/>
          <w:sz w:val="20"/>
          <w:szCs w:val="20"/>
          <w:u w:val="none"/>
          <w:effect w:val="none"/>
          <w:shd w:fill="FFFFFF" w:val="clear"/>
        </w:rPr>
      </w:pPr>
      <w:r>
        <w:rPr>
          <w:i/>
          <w:sz w:val="20"/>
          <w:szCs w:val="20"/>
        </w:rPr>
        <w:t>[b)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w:t>
      </w:r>
      <w:r>
        <w:fldChar w:fldCharType="begin"/>
      </w:r>
      <w:r>
        <w:instrText> HYPERLINK "http://www.bosettiegatti.eu/info/norme/statali/2016_0050.htm" \l "110"</w:instrText>
      </w:r>
      <w:r>
        <w:fldChar w:fldCharType="separate"/>
      </w:r>
      <w:r>
        <w:rPr>
          <w:rStyle w:val="CollegamentoInternet"/>
          <w:i/>
          <w:sz w:val="20"/>
          <w:szCs w:val="20"/>
        </w:rPr>
        <w:t>articolo 110</w:t>
      </w:r>
      <w:r>
        <w:fldChar w:fldCharType="end"/>
      </w:r>
      <w:r>
        <w:rPr>
          <w:i/>
          <w:sz w:val="20"/>
          <w:szCs w:val="20"/>
        </w:rPr>
        <w:t>;]</w:t>
      </w:r>
      <w:r>
        <w:rPr>
          <w:i/>
          <w:caps w:val="false"/>
          <w:smallCaps w:val="false"/>
          <w:strike w:val="false"/>
          <w:dstrike w:val="false"/>
          <w:color w:val="000000"/>
          <w:spacing w:val="0"/>
          <w:sz w:val="20"/>
          <w:szCs w:val="20"/>
          <w:u w:val="none"/>
          <w:effect w:val="none"/>
        </w:rPr>
        <w:t xml:space="preserve"> </w:t>
      </w:r>
      <w:r>
        <w:rPr>
          <w:b w:val="false"/>
          <w:i w:val="false"/>
          <w:caps w:val="false"/>
          <w:smallCaps w:val="false"/>
          <w:strike w:val="false"/>
          <w:dstrike w:val="false"/>
          <w:color w:val="000000"/>
          <w:spacing w:val="0"/>
          <w:sz w:val="20"/>
          <w:szCs w:val="20"/>
          <w:u w:val="none"/>
          <w:effect w:val="none"/>
          <w:shd w:fill="FFFFFF" w:val="clear"/>
        </w:rPr>
        <w:t>(lettera così sostituita dall'art. 372, comma 1, del decreto legislativo n. 14 del 2019 a partire dal 15 agosto 2020)</w:t>
      </w:r>
    </w:p>
    <w:p>
      <w:pPr>
        <w:pStyle w:val="Citazione"/>
        <w:ind w:left="567" w:right="567" w:hanging="0"/>
        <w:jc w:val="both"/>
        <w:rPr>
          <w:b w:val="false"/>
          <w:i/>
          <w:caps w:val="false"/>
          <w:smallCaps w:val="false"/>
          <w:strike w:val="false"/>
          <w:dstrike w:val="false"/>
          <w:color w:val="FF0000"/>
          <w:spacing w:val="0"/>
          <w:sz w:val="20"/>
          <w:szCs w:val="20"/>
          <w:u w:val="none"/>
          <w:effect w:val="none"/>
          <w:shd w:fill="FFFFFF" w:val="clear"/>
        </w:rPr>
      </w:pPr>
      <w:r>
        <w:rPr>
          <w:sz w:val="20"/>
          <w:szCs w:val="20"/>
        </w:rPr>
        <w:t>c) la stazione appaltante dimostri con mezzi adeguati che l'operatore economico si è reso colpevole di gravi illeciti professionali, tali da rendere dubbia la sua integrità o affidabilità;</w:t>
        <w:br/>
        <w:t xml:space="preserve">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br/>
        <w:t>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br/>
      </w:r>
      <w:r>
        <w:rPr>
          <w:i/>
          <w:color w:val="FF0000"/>
          <w:sz w:val="20"/>
          <w:szCs w:val="20"/>
        </w:rPr>
        <w:t xml:space="preserve">(si vedano le </w:t>
      </w:r>
      <w:hyperlink r:id="rId2">
        <w:r>
          <w:rPr>
            <w:rStyle w:val="CollegamentoInternet"/>
            <w:i/>
            <w:sz w:val="20"/>
            <w:szCs w:val="20"/>
          </w:rPr>
          <w:t>Linee guida n. 6 di ANAC</w:t>
        </w:r>
      </w:hyperlink>
      <w:r>
        <w:rPr>
          <w:i/>
          <w:color w:val="FF0000"/>
          <w:sz w:val="20"/>
          <w:szCs w:val="20"/>
        </w:rPr>
        <w:t>)</w:t>
      </w:r>
      <w:r>
        <w:rPr>
          <w:sz w:val="20"/>
          <w:szCs w:val="20"/>
        </w:rPr>
        <w:br/>
      </w:r>
      <w:r>
        <w:rPr>
          <w:b w:val="false"/>
          <w:i/>
          <w:caps w:val="false"/>
          <w:smallCaps w:val="false"/>
          <w:strike w:val="false"/>
          <w:dstrike w:val="false"/>
          <w:color w:val="FF0000"/>
          <w:spacing w:val="0"/>
          <w:sz w:val="20"/>
          <w:szCs w:val="20"/>
          <w:u w:val="none"/>
          <w:effect w:val="none"/>
          <w:shd w:fill="FFFFFF" w:val="clear"/>
        </w:rPr>
        <w:t>(lettera c) così sostituita dall'art. 5 del decreto-legge n. 135 del 2018, convertito nella legge n. 12 del 2019)</w:t>
      </w:r>
    </w:p>
    <w:p>
      <w:pPr>
        <w:pStyle w:val="Citazione"/>
        <w:jc w:val="both"/>
        <w:rPr>
          <w:sz w:val="20"/>
          <w:szCs w:val="20"/>
        </w:rPr>
      </w:pPr>
      <w:r>
        <w:rPr>
          <w:sz w:val="20"/>
          <w:szCs w:val="20"/>
        </w:rPr>
        <w:t>d) la partecipazione dell'operatore economico determini una situazione di conflitto di interesse ai sensi dell'</w:t>
      </w:r>
      <w:r>
        <w:fldChar w:fldCharType="begin"/>
      </w:r>
      <w:r>
        <w:instrText> HYPERLINK "http://www.bosettiegatti.eu/info/norme/statali/2016_0050.htm" \l "042"</w:instrText>
      </w:r>
      <w:r>
        <w:fldChar w:fldCharType="separate"/>
      </w:r>
      <w:r>
        <w:rPr>
          <w:rStyle w:val="CollegamentoInternet"/>
          <w:sz w:val="20"/>
          <w:szCs w:val="20"/>
        </w:rPr>
        <w:t>articolo 42, comma 2</w:t>
      </w:r>
      <w:r>
        <w:fldChar w:fldCharType="end"/>
      </w:r>
      <w:r>
        <w:rPr>
          <w:sz w:val="20"/>
          <w:szCs w:val="20"/>
        </w:rPr>
        <w:t xml:space="preserve">, non diversamente risolvibile; </w:t>
      </w:r>
    </w:p>
    <w:p>
      <w:pPr>
        <w:pStyle w:val="Citazione"/>
        <w:jc w:val="both"/>
        <w:rPr>
          <w:sz w:val="20"/>
          <w:szCs w:val="20"/>
        </w:rPr>
      </w:pPr>
      <w:r>
        <w:rPr>
          <w:sz w:val="20"/>
          <w:szCs w:val="20"/>
        </w:rPr>
        <w:t>e) una distorsione della concorrenza derivante dal precedente coinvolgimento degli operatori economici nella preparazione della procedura d'appalto di cui all'</w:t>
      </w:r>
      <w:r>
        <w:fldChar w:fldCharType="begin"/>
      </w:r>
      <w:r>
        <w:instrText> HYPERLINK "http://www.bosettiegatti.eu/info/norme/statali/2016_0050.htm" \l "067"</w:instrText>
      </w:r>
      <w:r>
        <w:fldChar w:fldCharType="separate"/>
      </w:r>
      <w:r>
        <w:rPr>
          <w:rStyle w:val="CollegamentoInternet"/>
          <w:sz w:val="20"/>
          <w:szCs w:val="20"/>
        </w:rPr>
        <w:t>articolo 67</w:t>
      </w:r>
      <w:r>
        <w:fldChar w:fldCharType="end"/>
      </w:r>
      <w:r>
        <w:rPr>
          <w:sz w:val="20"/>
          <w:szCs w:val="20"/>
        </w:rPr>
        <w:t xml:space="preserve"> non possa essere risolta con misure meno intrusive; </w:t>
      </w:r>
    </w:p>
    <w:p>
      <w:pPr>
        <w:pStyle w:val="Citazione"/>
        <w:jc w:val="both"/>
        <w:rPr>
          <w:sz w:val="20"/>
          <w:szCs w:val="20"/>
        </w:rPr>
      </w:pPr>
      <w:r>
        <w:rPr>
          <w:sz w:val="20"/>
          <w:szCs w:val="20"/>
        </w:rPr>
        <w:t>f) l'operatore economico sia stato soggetto alla sanzione interdittiva di cui all'</w:t>
      </w:r>
      <w:r>
        <w:fldChar w:fldCharType="begin"/>
      </w:r>
      <w:r>
        <w:instrText> HYPERLINK "http://www.bosettiegatti.eu/info/norme/statali/2001_0231.htm" \l "09"</w:instrText>
      </w:r>
      <w:r>
        <w:fldChar w:fldCharType="separate"/>
      </w:r>
      <w:r>
        <w:rPr>
          <w:rStyle w:val="CollegamentoInternet"/>
          <w:sz w:val="20"/>
          <w:szCs w:val="20"/>
        </w:rPr>
        <w:t>articolo 9, comma 2, lettera c) del decreto legislativo 8 giugno 2001, n. 231</w:t>
      </w:r>
      <w:r>
        <w:fldChar w:fldCharType="end"/>
      </w:r>
      <w:r>
        <w:rPr>
          <w:sz w:val="20"/>
          <w:szCs w:val="20"/>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sz w:val="20"/>
          <w:szCs w:val="20"/>
        </w:rPr>
        <w:t>articolo 14 del decreto legislativo 9 aprile 2008, n. 81</w:t>
      </w:r>
      <w:r>
        <w:fldChar w:fldCharType="end"/>
      </w:r>
      <w:r>
        <w:rPr>
          <w:sz w:val="20"/>
          <w:szCs w:val="20"/>
        </w:rPr>
        <w:t xml:space="preserve">; </w:t>
        <w:br/>
        <w:t xml:space="preserve">f-bis) l’operatore economico che presenti nella procedura di gara in corso e negli affidamenti di subappalti documentazione o dichiarazioni non veritiere; </w:t>
        <w:b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pPr>
        <w:pStyle w:val="Citazione"/>
        <w:jc w:val="both"/>
        <w:rPr>
          <w:sz w:val="20"/>
          <w:szCs w:val="20"/>
        </w:rPr>
      </w:pPr>
      <w:r>
        <w:rPr>
          <w:sz w:val="20"/>
          <w:szCs w:val="20"/>
        </w:rPr>
        <w:t xml:space="preserve">g) l'operatore economico iscritto nel casellario informatico tenuto dall'Osservatorio dell'ANAC per aver presentato false dichiarazioni o falsa documentazione ai fini del rilascio dell'attestazione di qualificazione, per il periodo durante il quale perdura l'iscrizione; </w:t>
      </w:r>
    </w:p>
    <w:p>
      <w:pPr>
        <w:pStyle w:val="Citazione"/>
        <w:jc w:val="both"/>
        <w:rPr>
          <w:sz w:val="20"/>
          <w:szCs w:val="20"/>
        </w:rPr>
      </w:pPr>
      <w:r>
        <w:rPr>
          <w:sz w:val="20"/>
          <w:szCs w:val="20"/>
        </w:rPr>
        <w:t>h) l'operatore economico abbia violato il divieto di intestazione fiduciaria di cui all'</w:t>
      </w:r>
      <w:r>
        <w:fldChar w:fldCharType="begin"/>
      </w:r>
      <w:r>
        <w:instrText> HYPERLINK "http://www.bosettiegatti.eu/info/norme/statali/1990_0055.htm" \l "17"</w:instrText>
      </w:r>
      <w:r>
        <w:fldChar w:fldCharType="separate"/>
      </w:r>
      <w:r>
        <w:rPr>
          <w:rStyle w:val="CollegamentoInternet"/>
          <w:sz w:val="20"/>
          <w:szCs w:val="20"/>
        </w:rPr>
        <w:t>articolo 17 della legge 19 marzo 1990, n. 55</w:t>
      </w:r>
      <w:r>
        <w:fldChar w:fldCharType="end"/>
      </w:r>
      <w:r>
        <w:rPr>
          <w:sz w:val="20"/>
          <w:szCs w:val="20"/>
        </w:rPr>
        <w:t xml:space="preserve">. L'esclusione ha durata di un anno decorrente dall'accertamento definitivo della violazione e va comunque disposta se la violazione non è stata rimossa; </w:t>
      </w:r>
    </w:p>
    <w:p>
      <w:pPr>
        <w:pStyle w:val="Citazione"/>
        <w:jc w:val="both"/>
        <w:rPr>
          <w:sz w:val="20"/>
          <w:szCs w:val="20"/>
        </w:rPr>
      </w:pPr>
      <w:r>
        <w:rPr>
          <w:sz w:val="20"/>
          <w:szCs w:val="20"/>
        </w:rPr>
        <w:t>i) l'operatore economico non presenti la certificazione di cui all'</w:t>
      </w:r>
      <w:r>
        <w:fldChar w:fldCharType="begin"/>
      </w:r>
      <w:r>
        <w:instrText> HYPERLINK "http://www.bosettiegatti.eu/info/norme/statali/1999_0068.htm" \l "17"</w:instrText>
      </w:r>
      <w:r>
        <w:fldChar w:fldCharType="separate"/>
      </w:r>
      <w:r>
        <w:rPr>
          <w:rStyle w:val="CollegamentoInternet"/>
          <w:sz w:val="20"/>
          <w:szCs w:val="20"/>
        </w:rPr>
        <w:t>articolo 17 della legge 12 marzo 1999, n. 68</w:t>
      </w:r>
      <w:r>
        <w:fldChar w:fldCharType="end"/>
      </w:r>
      <w:r>
        <w:rPr>
          <w:sz w:val="20"/>
          <w:szCs w:val="20"/>
        </w:rPr>
        <w:t xml:space="preserve">, ovvero non autocertifichi la sussistenza del medesimo requisito; </w:t>
      </w:r>
    </w:p>
    <w:p>
      <w:pPr>
        <w:pStyle w:val="Citazione"/>
        <w:jc w:val="both"/>
        <w:rPr>
          <w:sz w:val="20"/>
          <w:szCs w:val="20"/>
        </w:rPr>
      </w:pPr>
      <w:r>
        <w:rPr>
          <w:sz w:val="20"/>
          <w:szCs w:val="20"/>
        </w:rPr>
        <w:t xml:space="preserve">l) l'operatore economico che, pur essendo stato vittima dei reati previsti e puniti dagli </w:t>
      </w:r>
      <w:r>
        <w:fldChar w:fldCharType="begin"/>
      </w:r>
      <w:r>
        <w:instrText> HYPERLINK "http://www.bosettiegatti.eu/info/norme/statali/codicepenale.htm" \l "317"</w:instrText>
      </w:r>
      <w:r>
        <w:fldChar w:fldCharType="separate"/>
      </w:r>
      <w:r>
        <w:rPr>
          <w:rStyle w:val="CollegamentoInternet"/>
          <w:sz w:val="20"/>
          <w:szCs w:val="20"/>
        </w:rPr>
        <w:t>articoli 317</w:t>
      </w:r>
      <w:r>
        <w:fldChar w:fldCharType="end"/>
      </w:r>
      <w:r>
        <w:rPr>
          <w:sz w:val="20"/>
          <w:szCs w:val="20"/>
        </w:rPr>
        <w:t xml:space="preserve"> e </w:t>
      </w:r>
      <w:r>
        <w:fldChar w:fldCharType="begin"/>
      </w:r>
      <w:r>
        <w:instrText> HYPERLINK "http://www.bosettiegatti.eu/info/norme/statali/codicepenale.htm" \l "629"</w:instrText>
      </w:r>
      <w:r>
        <w:fldChar w:fldCharType="separate"/>
      </w:r>
      <w:r>
        <w:rPr>
          <w:rStyle w:val="CollegamentoInternet"/>
          <w:sz w:val="20"/>
          <w:szCs w:val="20"/>
        </w:rPr>
        <w:t>629 del codice penale</w:t>
      </w:r>
      <w:r>
        <w:fldChar w:fldCharType="end"/>
      </w:r>
      <w:r>
        <w:rPr>
          <w:sz w:val="20"/>
          <w:szCs w:val="20"/>
        </w:rPr>
        <w:t xml:space="preserve"> aggravati ai sensi dell'articolo 7 del decreto-legge 13 maggio 1991, n. 152, convertito, con modificazioni, dalla legge 12 luglio 1991, n. 203, non risulti aver denunciato i fatti all'autorità giudiziaria, salvo che ricorrano i casi previsti dall'</w:t>
      </w:r>
      <w:r>
        <w:fldChar w:fldCharType="begin"/>
      </w:r>
      <w:r>
        <w:instrText> HYPERLINK "http://www.bosettiegatti.eu/info/norme/statali/1981_0689.htm" \l "004"</w:instrText>
      </w:r>
      <w:r>
        <w:fldChar w:fldCharType="separate"/>
      </w:r>
      <w:r>
        <w:rPr>
          <w:rStyle w:val="CollegamentoInternet"/>
          <w:sz w:val="20"/>
          <w:szCs w:val="20"/>
        </w:rPr>
        <w:t>articolo 4, primo comma, della legge 24 novembre 1981, n. 689</w:t>
      </w:r>
      <w:r>
        <w:fldChar w:fldCharType="end"/>
      </w:r>
      <w:r>
        <w:rPr>
          <w:sz w:val="20"/>
          <w:szCs w:val="20"/>
        </w:rPr>
        <w:t xml:space="preserve">.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 </w:t>
      </w:r>
    </w:p>
    <w:p>
      <w:pPr>
        <w:pStyle w:val="Citazione"/>
        <w:jc w:val="both"/>
        <w:rPr>
          <w:sz w:val="20"/>
          <w:szCs w:val="20"/>
        </w:rPr>
      </w:pPr>
      <w:r>
        <w:rPr>
          <w:sz w:val="20"/>
          <w:szCs w:val="20"/>
        </w:rPr>
        <w:t>m) l'operatore economico si trovi rispetto ad un altro partecipante alla medesima procedura di affidamento, in una situazione di controllo di cui all'</w:t>
      </w:r>
      <w:r>
        <w:fldChar w:fldCharType="begin"/>
      </w:r>
      <w:r>
        <w:instrText> HYPERLINK "http://www.bosettiegatti.eu/info/norme/statali/codicecivile.htm" \l "2359"</w:instrText>
      </w:r>
      <w:r>
        <w:fldChar w:fldCharType="separate"/>
      </w:r>
      <w:r>
        <w:rPr>
          <w:rStyle w:val="CollegamentoInternet"/>
          <w:sz w:val="20"/>
          <w:szCs w:val="20"/>
        </w:rPr>
        <w:t>articolo 2359 del codice civile</w:t>
      </w:r>
      <w:r>
        <w:fldChar w:fldCharType="end"/>
      </w:r>
      <w:r>
        <w:rPr>
          <w:sz w:val="20"/>
          <w:szCs w:val="20"/>
        </w:rPr>
        <w:t xml:space="preserve"> o in una qualsiasi relazione, anche di fatto, se la situazione di controllo o la relazione comporti che le offerte sono imputabili ad un unico centro decisionale. </w:t>
      </w:r>
    </w:p>
    <w:p>
      <w:pPr>
        <w:pStyle w:val="Corpodeltesto"/>
        <w:jc w:val="both"/>
        <w:rPr>
          <w:sz w:val="20"/>
          <w:szCs w:val="20"/>
        </w:rPr>
      </w:pPr>
      <w:r>
        <w:rPr>
          <w:sz w:val="20"/>
          <w:szCs w:val="20"/>
        </w:rPr>
        <w:t xml:space="preserve">6. Le stazioni appaltanti escludono un operatore economico in qualunque momento della procedura, qualora risulti che l'operatore economico si trova, a causa di atti compiuti o omessi prima o nel corso della procedura, in una delle situazioni di cui ai commi 1,2, 4 e 5. </w:t>
      </w:r>
    </w:p>
    <w:p>
      <w:pPr>
        <w:pStyle w:val="Corpodeltesto"/>
        <w:jc w:val="both"/>
        <w:rPr>
          <w:sz w:val="20"/>
          <w:szCs w:val="20"/>
        </w:rPr>
      </w:pPr>
      <w:r>
        <w:rPr>
          <w:sz w:val="20"/>
          <w:szCs w:val="20"/>
        </w:rPr>
        <w:t xml:space="preserve">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pPr>
        <w:pStyle w:val="Corpodeltesto"/>
        <w:jc w:val="both"/>
        <w:rPr>
          <w:sz w:val="20"/>
          <w:szCs w:val="20"/>
        </w:rPr>
      </w:pPr>
      <w:r>
        <w:rPr>
          <w:sz w:val="20"/>
          <w:szCs w:val="20"/>
        </w:rPr>
        <w:t xml:space="preserve">8. Se la stazione appaltante ritiene che le misure di cui al comma 7 sono sufficienti, l'operatore economico non è escluso della procedura d'appalto; viceversa dell'esclusione viene data motivata comunicazione all'operatore economico. </w:t>
      </w:r>
    </w:p>
    <w:p>
      <w:pPr>
        <w:pStyle w:val="Corpodeltesto"/>
        <w:jc w:val="both"/>
        <w:rPr>
          <w:sz w:val="20"/>
          <w:szCs w:val="20"/>
        </w:rPr>
      </w:pPr>
      <w:r>
        <w:rPr>
          <w:sz w:val="20"/>
          <w:szCs w:val="20"/>
        </w:rPr>
        <w:t xml:space="preserve">9. Un operatore economico escluso con sentenza definitiva dalla partecipazione alle procedure di appalto non può avvalersi della possibilità prevista dai commi 7 e 8 nel corso del periodo di esclusione derivante da tale sentenza. </w:t>
      </w:r>
    </w:p>
    <w:p>
      <w:pPr>
        <w:pStyle w:val="Corpodeltesto"/>
        <w:jc w:val="both"/>
        <w:rPr>
          <w:b/>
          <w:sz w:val="20"/>
          <w:szCs w:val="20"/>
        </w:rPr>
      </w:pPr>
      <w:r>
        <w:rPr>
          <w:strike/>
          <w:sz w:val="20"/>
          <w:szCs w:val="20"/>
        </w:rPr>
        <w:t>10. 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principale e a tre anni, decorrenti dalla data del suo accertamento definitivo, nei casi di cui ai commi 4 e 5 ove non sia intervenuta sentenza di condanna.</w:t>
      </w:r>
      <w:r>
        <w:rPr>
          <w:sz w:val="20"/>
          <w:szCs w:val="20"/>
          <w:u w:val="single"/>
        </w:rPr>
        <w:br/>
      </w:r>
      <w:r>
        <w:rPr>
          <w:b/>
          <w:sz w:val="20"/>
          <w:szCs w:val="20"/>
        </w:rPr>
        <w:t>10. Se la sentenza penale di condanna definitiva non fissa la durata della pena accessoria della incapacità di contrattare con la pubblica amministrazione, la durata della esclusione dalla procedura d’appalto o concessione è:</w:t>
      </w:r>
    </w:p>
    <w:p>
      <w:pPr>
        <w:pStyle w:val="Citazione"/>
        <w:jc w:val="both"/>
        <w:rPr>
          <w:b/>
          <w:sz w:val="20"/>
          <w:szCs w:val="20"/>
        </w:rPr>
      </w:pPr>
      <w:r>
        <w:rPr>
          <w:b/>
          <w:sz w:val="20"/>
          <w:szCs w:val="20"/>
        </w:rPr>
        <w:t>a) perpetua, nei casi in cui alla condanna consegue di diritto la pena accessoria perpetua, ai sensi dell’</w:t>
      </w:r>
      <w:r>
        <w:fldChar w:fldCharType="begin"/>
      </w:r>
      <w:r>
        <w:instrText> HYPERLINK "http://www.bosettiegatti.eu/info/norme/statali/codicepenale.htm" \l "317.bis"</w:instrText>
      </w:r>
      <w:r>
        <w:fldChar w:fldCharType="separate"/>
      </w:r>
      <w:r>
        <w:rPr>
          <w:rStyle w:val="CollegamentoInternet"/>
          <w:b/>
          <w:sz w:val="20"/>
          <w:szCs w:val="20"/>
        </w:rPr>
        <w:t>articolo 317-bis, primo comma, primo periodo, del codice penale</w:t>
      </w:r>
      <w:r>
        <w:fldChar w:fldCharType="end"/>
      </w:r>
      <w:r>
        <w:rPr>
          <w:b/>
          <w:sz w:val="20"/>
          <w:szCs w:val="20"/>
        </w:rPr>
        <w:t>, salvo che la pena sia dichiarata estinta ai sensi dell’</w:t>
      </w:r>
      <w:r>
        <w:fldChar w:fldCharType="begin"/>
      </w:r>
      <w:r>
        <w:instrText> HYPERLINK "http://www.bosettiegatti.eu/info/norme/statali/codicepenale.htm" \l "179"</w:instrText>
      </w:r>
      <w:r>
        <w:fldChar w:fldCharType="separate"/>
      </w:r>
      <w:r>
        <w:rPr>
          <w:rStyle w:val="CollegamentoInternet"/>
          <w:b/>
          <w:sz w:val="20"/>
          <w:szCs w:val="20"/>
        </w:rPr>
        <w:t xml:space="preserve">articolo 179, settimo </w:t>
      </w:r>
      <w:r>
        <w:fldChar w:fldCharType="end"/>
      </w:r>
      <w:r>
        <w:fldChar w:fldCharType="begin"/>
      </w:r>
      <w:r>
        <w:instrText> HYPERLINK "http://www.bosettiegatti.eu/info/norme/statali/codicepenale.htm" \l "179"</w:instrText>
      </w:r>
      <w:r>
        <w:fldChar w:fldCharType="separate"/>
      </w:r>
      <w:r>
        <w:rPr>
          <w:rStyle w:val="CollegamentoInternet"/>
          <w:b/>
          <w:sz w:val="20"/>
          <w:szCs w:val="20"/>
        </w:rPr>
        <w:t>comma, del codice penale</w:t>
      </w:r>
      <w:r>
        <w:fldChar w:fldCharType="end"/>
      </w:r>
      <w:r>
        <w:rPr>
          <w:b/>
          <w:sz w:val="20"/>
          <w:szCs w:val="20"/>
        </w:rPr>
        <w:t>;</w:t>
        <w:br/>
        <w:t>b) pari a sette anni nei casi previsti dall’</w:t>
      </w:r>
      <w:r>
        <w:fldChar w:fldCharType="begin"/>
      </w:r>
      <w:r>
        <w:instrText> HYPERLINK "http://www.bosettiegatti.eu/info/norme/statali/codicepenale.htm" \l "317.bis"</w:instrText>
      </w:r>
      <w:r>
        <w:fldChar w:fldCharType="separate"/>
      </w:r>
      <w:r>
        <w:rPr>
          <w:rStyle w:val="CollegamentoInternet"/>
          <w:b/>
          <w:sz w:val="20"/>
          <w:szCs w:val="20"/>
        </w:rPr>
        <w:t>articolo 317-bis, primo comma, secondo periodo, del codice penale</w:t>
      </w:r>
      <w:r>
        <w:fldChar w:fldCharType="end"/>
      </w:r>
      <w:r>
        <w:rPr>
          <w:b/>
          <w:sz w:val="20"/>
          <w:szCs w:val="20"/>
        </w:rPr>
        <w:t>, salvo che sia intervenuta riabilitazione;</w:t>
        <w:br/>
        <w:t xml:space="preserve">c) pari a cinque anni nei casi diversi da quelli di cui alle lettere a) e b), salvo che sia intervenuta riabilitazione. </w:t>
      </w:r>
    </w:p>
    <w:p>
      <w:pPr>
        <w:pStyle w:val="Corpodeltesto"/>
        <w:jc w:val="both"/>
        <w:rPr>
          <w:b/>
          <w:sz w:val="20"/>
          <w:szCs w:val="20"/>
        </w:rPr>
      </w:pPr>
      <w:r>
        <w:rPr>
          <w:b/>
          <w:sz w:val="20"/>
          <w:szCs w:val="20"/>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pPr>
        <w:pStyle w:val="Corpodeltesto"/>
        <w:jc w:val="both"/>
        <w:rPr>
          <w:sz w:val="20"/>
          <w:szCs w:val="20"/>
        </w:rPr>
      </w:pPr>
      <w:r>
        <w:rPr>
          <w:sz w:val="20"/>
          <w:szCs w:val="20"/>
        </w:rPr>
        <w:t xml:space="preserve">11. Le cause di esclusione previste dal presente articolo non si applicano alle aziende o società sottoposte a sequestro o confisca ai sensi dell'articolo 12-sexies del decreto-legge 8 giugno 1992, n. 306, convertito, con modificazioni, dalla legge 7 agosto 1992, n. 356 o degli </w:t>
      </w:r>
      <w:r>
        <w:fldChar w:fldCharType="begin"/>
      </w:r>
      <w:r>
        <w:instrText> HYPERLINK "http://www.bosettiegatti.eu/info/norme/statali/2011_0159.htm" \l "020"</w:instrText>
      </w:r>
      <w:r>
        <w:fldChar w:fldCharType="separate"/>
      </w:r>
      <w:r>
        <w:rPr>
          <w:rStyle w:val="CollegamentoInternet"/>
          <w:sz w:val="20"/>
          <w:szCs w:val="20"/>
        </w:rPr>
        <w:t xml:space="preserve">articoli </w:t>
      </w:r>
      <w:r>
        <w:fldChar w:fldCharType="end"/>
      </w:r>
      <w:r>
        <w:fldChar w:fldCharType="begin"/>
      </w:r>
      <w:r>
        <w:instrText> HYPERLINK "http://www.bosettiegatti.eu/info/norme/statali/2011_0159.htm" \l "020"</w:instrText>
      </w:r>
      <w:r>
        <w:fldChar w:fldCharType="separate"/>
      </w:r>
      <w:r>
        <w:rPr>
          <w:rStyle w:val="CollegamentoInternet"/>
          <w:color w:val="FF0000"/>
          <w:sz w:val="20"/>
          <w:szCs w:val="20"/>
        </w:rPr>
        <w:t>20 e 24 del decreto legislativo 6 settembre 2011 n. 159</w:t>
      </w:r>
      <w:r>
        <w:fldChar w:fldCharType="end"/>
      </w:r>
      <w:r>
        <w:rPr>
          <w:sz w:val="20"/>
          <w:szCs w:val="20"/>
        </w:rPr>
        <w:t xml:space="preserve">, ed affidate ad un custode o amministratore giudiziario o finanziario, limitatamente a quelle riferite al periodo precedente al predetto affidamento. </w:t>
      </w:r>
    </w:p>
    <w:p>
      <w:pPr>
        <w:pStyle w:val="Corpodeltesto"/>
        <w:jc w:val="both"/>
        <w:rPr>
          <w:sz w:val="20"/>
          <w:szCs w:val="20"/>
        </w:rPr>
      </w:pPr>
      <w:r>
        <w:rPr>
          <w:sz w:val="20"/>
          <w:szCs w:val="20"/>
        </w:rPr>
        <w:t xml:space="preserve">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 </w:t>
      </w:r>
    </w:p>
    <w:p>
      <w:pPr>
        <w:pStyle w:val="Corpodeltesto"/>
        <w:jc w:val="both"/>
        <w:rPr>
          <w:i/>
          <w:color w:val="FF0000"/>
          <w:sz w:val="20"/>
          <w:szCs w:val="20"/>
        </w:rPr>
      </w:pPr>
      <w:r>
        <w:rPr>
          <w:sz w:val="20"/>
          <w:szCs w:val="20"/>
        </w:rPr>
        <w:t xml:space="preserve">13. Con </w:t>
      </w:r>
      <w:hyperlink r:id="rId3">
        <w:r>
          <w:rPr>
            <w:rStyle w:val="CollegamentoInternet"/>
            <w:sz w:val="20"/>
            <w:szCs w:val="20"/>
          </w:rPr>
          <w:t>linee guida l'ANAC</w:t>
        </w:r>
      </w:hyperlink>
      <w:r>
        <w:rPr>
          <w:sz w:val="20"/>
          <w:szCs w:val="20"/>
        </w:rPr>
        <w:t xml:space="preserve">,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 </w:t>
        <w:br/>
      </w:r>
      <w:r>
        <w:rPr>
          <w:i/>
          <w:color w:val="FF0000"/>
          <w:sz w:val="20"/>
          <w:szCs w:val="20"/>
        </w:rPr>
        <w:t xml:space="preserve">(si vedano le </w:t>
      </w:r>
      <w:hyperlink r:id="rId4">
        <w:r>
          <w:rPr>
            <w:rStyle w:val="CollegamentoInternet"/>
            <w:i/>
            <w:sz w:val="20"/>
            <w:szCs w:val="20"/>
          </w:rPr>
          <w:t>Linee guida n. 6</w:t>
        </w:r>
      </w:hyperlink>
      <w:r>
        <w:rPr>
          <w:i/>
          <w:color w:val="FF0000"/>
          <w:sz w:val="20"/>
          <w:szCs w:val="20"/>
        </w:rPr>
        <w:t xml:space="preserve"> di ANAC)</w:t>
      </w:r>
    </w:p>
    <w:p>
      <w:pPr>
        <w:pStyle w:val="Corpodeltesto"/>
        <w:jc w:val="both"/>
        <w:rPr>
          <w:sz w:val="20"/>
          <w:szCs w:val="20"/>
        </w:rPr>
      </w:pPr>
      <w:r>
        <w:rPr>
          <w:sz w:val="20"/>
          <w:szCs w:val="20"/>
        </w:rPr>
        <w:t>14. Non possono essere affidatari di subappalti e non possono stipulare i relativi contratti i soggetti per i quali ricorrano i motivi di esclusione previsti dal presente articolo.</w:t>
      </w:r>
    </w:p>
    <w:p>
      <w:pPr>
        <w:pStyle w:val="Normal"/>
        <w:widowControl w:val="false"/>
        <w:tabs>
          <w:tab w:val="left" w:pos="142" w:leader="none"/>
        </w:tabs>
        <w:spacing w:lineRule="auto" w:line="360"/>
        <w:ind w:left="0" w:right="0" w:hanging="0"/>
        <w:jc w:val="both"/>
        <w:rPr/>
      </w:pPr>
      <w:r>
        <w:rPr/>
      </w:r>
    </w:p>
    <w:sectPr>
      <w:headerReference w:type="default" r:id="rId5"/>
      <w:footerReference w:type="default" r:id="rId6"/>
      <w:footnotePr>
        <w:numFmt w:val="decimal"/>
      </w:footnotePr>
      <w:type w:val="nextPage"/>
      <w:pgSz w:w="11906" w:h="16838"/>
      <w:pgMar w:left="851" w:right="855" w:header="851" w:top="1584" w:footer="720" w:bottom="777"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Garamond">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 w:name="MT Extra">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rPr/>
    </w:pPr>
    <w:r>
      <w:rPr/>
    </w:r>
  </w:p>
  <w:p>
    <w:pPr>
      <w:pStyle w:val="Pidipagina"/>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rPr>
      </w:pPr>
      <w:r>
        <w:rPr>
          <w:rStyle w:val="Footnotereference"/>
        </w:rPr>
        <w:footnoteRef/>
        <w:tab/>
      </w:r>
      <w:r>
        <w:rPr/>
        <w:t xml:space="preserve"> </w:t>
      </w:r>
      <w:r>
        <w:rPr>
          <w:rFonts w:ascii="Garamond" w:hAnsi="Garamond"/>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Pr>
          <w:rFonts w:ascii="Garamond" w:hAnsi="Garamond"/>
          <w:b/>
          <w:u w:val="single"/>
        </w:rPr>
        <w:t>in caso di società con numero di soci pari o inferiore a quattro (aggiornato con il D.L.: 18/04/2019 n. 32)</w:t>
      </w:r>
      <w:r>
        <w:rPr>
          <w:rFonts w:ascii="Garamond" w:hAnsi="Garamond"/>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 w:id="3">
    <w:p>
      <w:pPr>
        <w:pStyle w:val="Notaapidipagina"/>
        <w:rPr/>
      </w:pPr>
      <w:r>
        <w:rPr/>
        <w:footnoteRef/>
        <w:tab/>
      </w:r>
    </w:p>
  </w:footnote>
  <w:footnote w:id="4">
    <w:p>
      <w:pPr>
        <w:pStyle w:val="Notaapidipagina"/>
        <w:rPr/>
      </w:pPr>
      <w:r>
        <w:rPr/>
        <w:footnoteRef/>
        <w:tab/>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b w:val="false"/>
        <w:bCs w:val="false"/>
        <w:sz w:val="20"/>
        <w:szCs w:val="20"/>
      </w:rPr>
    </w:pPr>
    <w:r>
      <w:rPr>
        <w:rFonts w:cs="Tahoma"/>
        <w:b w:val="false"/>
        <w:bCs w:val="false"/>
        <w:sz w:val="20"/>
        <w:szCs w:val="20"/>
      </w:rPr>
      <w:t>Allegato 5_ dichiarazioni integrative DGUE ausiliaria</w:t>
    </w:r>
  </w:p>
  <w:p>
    <w:pPr>
      <w:pStyle w:val="Normal"/>
      <w:widowControl/>
      <w:jc w:val="center"/>
      <w:rPr>
        <w:rStyle w:val="Caratterenotaapidipagina"/>
        <w:rFonts w:cs="Tahoma"/>
        <w:b w:val="false"/>
        <w:bCs w:val="false"/>
        <w:position w:val="0"/>
        <w:sz w:val="20"/>
        <w:sz w:val="20"/>
        <w:szCs w:val="20"/>
        <w:vertAlign w:val="baseline"/>
      </w:rPr>
    </w:pPr>
    <w:r>
      <w:rPr>
        <w:rFonts w:cs="Tahoma"/>
        <w:b w:val="false"/>
        <w:bCs w:val="false"/>
        <w:sz w:val="20"/>
        <w:szCs w:val="20"/>
      </w:rPr>
      <w:t>DICHIARAZIONI INTEGRATIVE AL DGUE</w:t>
    </w:r>
    <w:r>
      <w:rPr>
        <w:rStyle w:val="Caratterenotaapidipagina"/>
        <w:rFonts w:cs="Tahoma"/>
        <w:b w:val="false"/>
        <w:bCs w:val="false"/>
        <w:sz w:val="20"/>
        <w:szCs w:val="20"/>
      </w:rPr>
      <w:t xml:space="preserve"> - </w:t>
    </w:r>
    <w:r>
      <w:rPr>
        <w:rStyle w:val="Caratterenotaapidipagina"/>
        <w:rFonts w:cs="Tahoma"/>
        <w:b w:val="false"/>
        <w:bCs w:val="false"/>
        <w:position w:val="0"/>
        <w:sz w:val="20"/>
        <w:sz w:val="20"/>
        <w:szCs w:val="20"/>
        <w:vertAlign w:val="baseline"/>
      </w:rPr>
      <w:t>AUSILIARIA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lvl w:ilvl="0">
      <w:start w:val="1"/>
      <w:numFmt w:val="bullet"/>
      <w:lvlText w:val=""/>
      <w:lvlJc w:val="left"/>
      <w:pPr>
        <w:ind w:left="1740" w:hanging="360"/>
      </w:pPr>
      <w:rPr>
        <w:rFonts w:ascii="Symbol" w:hAnsi="Symbol" w:cs="Symbol" w:hint="default"/>
        <w:sz w:val="24"/>
      </w:rPr>
    </w:lvl>
    <w:lvl w:ilvl="1">
      <w:start w:val="1"/>
      <w:numFmt w:val="bullet"/>
      <w:lvlText w:val="o"/>
      <w:lvlJc w:val="left"/>
      <w:pPr>
        <w:ind w:left="2460" w:hanging="360"/>
      </w:pPr>
      <w:rPr>
        <w:rFonts w:ascii="Courier New" w:hAnsi="Courier New" w:cs="Courier New" w:hint="default"/>
      </w:rPr>
    </w:lvl>
    <w:lvl w:ilvl="2">
      <w:start w:val="1"/>
      <w:numFmt w:val="bullet"/>
      <w:lvlText w:val=""/>
      <w:lvlJc w:val="left"/>
      <w:pPr>
        <w:ind w:left="3180" w:hanging="360"/>
      </w:pPr>
      <w:rPr>
        <w:rFonts w:ascii="Wingdings" w:hAnsi="Wingdings" w:cs="Wingdings" w:hint="default"/>
      </w:rPr>
    </w:lvl>
    <w:lvl w:ilvl="3">
      <w:start w:val="1"/>
      <w:numFmt w:val="bullet"/>
      <w:lvlText w:val=""/>
      <w:lvlJc w:val="left"/>
      <w:pPr>
        <w:ind w:left="3900" w:hanging="360"/>
      </w:pPr>
      <w:rPr>
        <w:rFonts w:ascii="Symbol" w:hAnsi="Symbol" w:cs="Symbol" w:hint="default"/>
      </w:rPr>
    </w:lvl>
    <w:lvl w:ilvl="4">
      <w:start w:val="1"/>
      <w:numFmt w:val="bullet"/>
      <w:lvlText w:val="o"/>
      <w:lvlJc w:val="left"/>
      <w:pPr>
        <w:ind w:left="4620" w:hanging="360"/>
      </w:pPr>
      <w:rPr>
        <w:rFonts w:ascii="Courier New" w:hAnsi="Courier New" w:cs="Courier New" w:hint="default"/>
      </w:rPr>
    </w:lvl>
    <w:lvl w:ilvl="5">
      <w:start w:val="1"/>
      <w:numFmt w:val="bullet"/>
      <w:lvlText w:val=""/>
      <w:lvlJc w:val="left"/>
      <w:pPr>
        <w:ind w:left="5340" w:hanging="360"/>
      </w:pPr>
      <w:rPr>
        <w:rFonts w:ascii="Wingdings" w:hAnsi="Wingdings" w:cs="Wingdings" w:hint="default"/>
      </w:rPr>
    </w:lvl>
    <w:lvl w:ilvl="6">
      <w:start w:val="1"/>
      <w:numFmt w:val="bullet"/>
      <w:lvlText w:val=""/>
      <w:lvlJc w:val="left"/>
      <w:pPr>
        <w:ind w:left="6060" w:hanging="360"/>
      </w:pPr>
      <w:rPr>
        <w:rFonts w:ascii="Symbol" w:hAnsi="Symbol" w:cs="Symbol" w:hint="default"/>
      </w:rPr>
    </w:lvl>
    <w:lvl w:ilvl="7">
      <w:start w:val="1"/>
      <w:numFmt w:val="bullet"/>
      <w:lvlText w:val="o"/>
      <w:lvlJc w:val="left"/>
      <w:pPr>
        <w:ind w:left="6780" w:hanging="360"/>
      </w:pPr>
      <w:rPr>
        <w:rFonts w:ascii="Courier New" w:hAnsi="Courier New" w:cs="Courier New" w:hint="default"/>
      </w:rPr>
    </w:lvl>
    <w:lvl w:ilvl="8">
      <w:start w:val="1"/>
      <w:numFmt w:val="bullet"/>
      <w:lvlText w:val=""/>
      <w:lvlJc w:val="left"/>
      <w:pPr>
        <w:ind w:left="750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4"/>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1060"/>
        </w:tabs>
        <w:ind w:left="1060" w:hanging="360"/>
      </w:pPr>
      <w:rPr>
        <w:rFonts w:ascii="Symbol" w:hAnsi="Symbol" w:cs="Symbol" w:hint="default"/>
      </w:rPr>
    </w:lvl>
    <w:lvl w:ilvl="1">
      <w:start w:val="1"/>
      <w:numFmt w:val="bullet"/>
      <w:lvlText w:val="◦"/>
      <w:lvlJc w:val="left"/>
      <w:pPr>
        <w:tabs>
          <w:tab w:val="num" w:pos="1420"/>
        </w:tabs>
        <w:ind w:left="1420" w:hanging="360"/>
      </w:pPr>
      <w:rPr>
        <w:rFonts w:ascii="OpenSymbol" w:hAnsi="OpenSymbol" w:cs="OpenSymbol" w:hint="default"/>
      </w:rPr>
    </w:lvl>
    <w:lvl w:ilvl="2">
      <w:start w:val="1"/>
      <w:numFmt w:val="bullet"/>
      <w:lvlText w:val="▪"/>
      <w:lvlJc w:val="left"/>
      <w:pPr>
        <w:tabs>
          <w:tab w:val="num" w:pos="1780"/>
        </w:tabs>
        <w:ind w:left="1780" w:hanging="360"/>
      </w:pPr>
      <w:rPr>
        <w:rFonts w:ascii="OpenSymbol" w:hAnsi="OpenSymbol" w:cs="OpenSymbol" w:hint="default"/>
      </w:rPr>
    </w:lvl>
    <w:lvl w:ilvl="3">
      <w:start w:val="1"/>
      <w:numFmt w:val="bullet"/>
      <w:lvlText w:val=""/>
      <w:lvlJc w:val="left"/>
      <w:pPr>
        <w:tabs>
          <w:tab w:val="num" w:pos="2140"/>
        </w:tabs>
        <w:ind w:left="2140" w:hanging="360"/>
      </w:pPr>
      <w:rPr>
        <w:rFonts w:ascii="Symbol" w:hAnsi="Symbol" w:cs="Symbol" w:hint="default"/>
      </w:rPr>
    </w:lvl>
    <w:lvl w:ilvl="4">
      <w:start w:val="1"/>
      <w:numFmt w:val="bullet"/>
      <w:lvlText w:val="◦"/>
      <w:lvlJc w:val="left"/>
      <w:pPr>
        <w:tabs>
          <w:tab w:val="num" w:pos="2500"/>
        </w:tabs>
        <w:ind w:left="2500" w:hanging="360"/>
      </w:pPr>
      <w:rPr>
        <w:rFonts w:ascii="OpenSymbol" w:hAnsi="OpenSymbol" w:cs="OpenSymbol" w:hint="default"/>
      </w:rPr>
    </w:lvl>
    <w:lvl w:ilvl="5">
      <w:start w:val="1"/>
      <w:numFmt w:val="bullet"/>
      <w:lvlText w:val="▪"/>
      <w:lvlJc w:val="left"/>
      <w:pPr>
        <w:tabs>
          <w:tab w:val="num" w:pos="2860"/>
        </w:tabs>
        <w:ind w:left="2860" w:hanging="360"/>
      </w:pPr>
      <w:rPr>
        <w:rFonts w:ascii="OpenSymbol" w:hAnsi="OpenSymbol" w:cs="OpenSymbol" w:hint="default"/>
      </w:rPr>
    </w:lvl>
    <w:lvl w:ilvl="6">
      <w:start w:val="1"/>
      <w:numFmt w:val="bullet"/>
      <w:lvlText w:val=""/>
      <w:lvlJc w:val="left"/>
      <w:pPr>
        <w:tabs>
          <w:tab w:val="num" w:pos="3220"/>
        </w:tabs>
        <w:ind w:left="3220" w:hanging="360"/>
      </w:pPr>
      <w:rPr>
        <w:rFonts w:ascii="Symbol" w:hAnsi="Symbol" w:cs="Symbol" w:hint="default"/>
      </w:rPr>
    </w:lvl>
    <w:lvl w:ilvl="7">
      <w:start w:val="1"/>
      <w:numFmt w:val="bullet"/>
      <w:lvlText w:val="◦"/>
      <w:lvlJc w:val="left"/>
      <w:pPr>
        <w:tabs>
          <w:tab w:val="num" w:pos="3580"/>
        </w:tabs>
        <w:ind w:left="3580" w:hanging="360"/>
      </w:pPr>
      <w:rPr>
        <w:rFonts w:ascii="OpenSymbol" w:hAnsi="OpenSymbol" w:cs="OpenSymbol" w:hint="default"/>
      </w:rPr>
    </w:lvl>
    <w:lvl w:ilvl="8">
      <w:start w:val="1"/>
      <w:numFmt w:val="bullet"/>
      <w:lvlText w:val="▪"/>
      <w:lvlJc w:val="left"/>
      <w:pPr>
        <w:tabs>
          <w:tab w:val="num" w:pos="3940"/>
        </w:tabs>
        <w:ind w:left="3940" w:hanging="360"/>
      </w:pPr>
      <w:rPr>
        <w:rFonts w:ascii="OpenSymbol" w:hAnsi="OpenSymbol" w:cs="OpenSymbol" w:hint="default"/>
      </w:rPr>
    </w:lvl>
  </w:abstractNum>
  <w:abstractNum w:abstractNumId="6">
    <w:lvl w:ilvl="0">
      <w:start w:val="1"/>
      <w:numFmt w:val="bullet"/>
      <w:suff w:val="nothing"/>
      <w:lvlText w:val=""/>
      <w:lvlJc w:val="left"/>
      <w:pPr>
        <w:ind w:left="432" w:hanging="432"/>
      </w:pPr>
      <w:rPr>
        <w:rFonts w:ascii="MT Extra" w:hAnsi="MT Extra" w:cs="MT Extra" w:hint="default"/>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uiPriority="0" w:name="Hyperlink"/>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uiPriority w:val="99"/>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sz w:val="16"/>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5">
    <w:name w:val="ListLabel 5"/>
    <w:qFormat/>
    <w:rPr>
      <w:rFonts w:cs="Symbol"/>
    </w:rPr>
  </w:style>
  <w:style w:type="character" w:styleId="ListLabel6">
    <w:name w:val="ListLabel 6"/>
    <w:qFormat/>
    <w:rPr>
      <w:rFonts w:cs="OpenSymbol"/>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Symbol"/>
      <w:sz w:val="24"/>
    </w:rPr>
  </w:style>
  <w:style w:type="character" w:styleId="ListLabel12">
    <w:name w:val="ListLabel 12"/>
    <w:qFormat/>
    <w:rPr>
      <w:rFonts w:cs="Symbol"/>
      <w:sz w:val="24"/>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Symbol"/>
      <w:sz w:val="24"/>
    </w:rPr>
  </w:style>
  <w:style w:type="character" w:styleId="ListLabel22">
    <w:name w:val="ListLabel 22"/>
    <w:qFormat/>
    <w:rPr>
      <w:rFonts w:cs="Symbol"/>
      <w:sz w:val="24"/>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sz w:val="24"/>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Symbol"/>
    </w:rPr>
  </w:style>
  <w:style w:type="character" w:styleId="ListLabel38">
    <w:name w:val="ListLabel 38"/>
    <w:qFormat/>
    <w:rPr>
      <w:rFonts w:cs="OpenSymbol"/>
    </w:rPr>
  </w:style>
  <w:style w:type="character" w:styleId="ListLabel39">
    <w:name w:val="ListLabel 39"/>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0">
    <w:name w:val="ListLabel 40"/>
    <w:qFormat/>
    <w:rPr>
      <w:rFonts w:cs="Symbol"/>
      <w:sz w:val="24"/>
    </w:rPr>
  </w:style>
  <w:style w:type="character" w:styleId="ListLabel41">
    <w:name w:val="ListLabel 41"/>
    <w:qFormat/>
    <w:rPr>
      <w:rFonts w:cs="Symbol"/>
      <w:sz w:val="24"/>
    </w:rPr>
  </w:style>
  <w:style w:type="character" w:styleId="ListLabel42">
    <w:name w:val="ListLabel 42"/>
    <w:qFormat/>
    <w:rPr>
      <w:rFonts w:cs="Symbol"/>
      <w:sz w:val="24"/>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sz w:val="24"/>
    </w:rPr>
  </w:style>
  <w:style w:type="character" w:styleId="ListLabel52">
    <w:name w:val="ListLabel 52"/>
    <w:qFormat/>
    <w:rPr>
      <w:rFonts w:cs="Symbol"/>
      <w:sz w:val="24"/>
    </w:rPr>
  </w:style>
  <w:style w:type="character" w:styleId="ListLabel53">
    <w:name w:val="ListLabel 53"/>
    <w:qFormat/>
    <w:rPr>
      <w:rFonts w:cs="Symbol"/>
      <w:sz w:val="24"/>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529">
    <w:name w:val="ListLabel 529"/>
    <w:qFormat/>
    <w:rPr>
      <w:rFonts w:cs="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Symbol"/>
      <w:sz w:val="24"/>
    </w:rPr>
  </w:style>
  <w:style w:type="character" w:styleId="ListLabel539">
    <w:name w:val="ListLabel 539"/>
    <w:qFormat/>
    <w:rPr>
      <w:rFonts w:cs="Symbol"/>
      <w:sz w:val="24"/>
    </w:rPr>
  </w:style>
  <w:style w:type="character" w:styleId="ListLabel540">
    <w:name w:val="ListLabel 540"/>
    <w:qFormat/>
    <w:rPr>
      <w:rFonts w:cs="Symbol"/>
      <w:sz w:val="24"/>
    </w:rPr>
  </w:style>
  <w:style w:type="character" w:styleId="ListLabel541">
    <w:name w:val="ListLabel 541"/>
    <w:qFormat/>
    <w:rPr>
      <w:rFonts w:cs="Courier New"/>
    </w:rPr>
  </w:style>
  <w:style w:type="character" w:styleId="ListLabel542">
    <w:name w:val="ListLabel 542"/>
    <w:qFormat/>
    <w:rPr>
      <w:rFonts w:cs="Wingdings"/>
    </w:rPr>
  </w:style>
  <w:style w:type="character" w:styleId="ListLabel543">
    <w:name w:val="ListLabel 543"/>
    <w:qFormat/>
    <w:rPr>
      <w:rFonts w:cs="Symbol"/>
    </w:rPr>
  </w:style>
  <w:style w:type="character" w:styleId="ListLabel544">
    <w:name w:val="ListLabel 544"/>
    <w:qFormat/>
    <w:rPr>
      <w:rFonts w:cs="Courier New"/>
    </w:rPr>
  </w:style>
  <w:style w:type="character" w:styleId="ListLabel545">
    <w:name w:val="ListLabel 545"/>
    <w:qFormat/>
    <w:rPr>
      <w:rFonts w:cs="Wingdings"/>
    </w:rPr>
  </w:style>
  <w:style w:type="character" w:styleId="ListLabel546">
    <w:name w:val="ListLabel 546"/>
    <w:qFormat/>
    <w:rPr>
      <w:rFonts w:cs="Symbol"/>
    </w:rPr>
  </w:style>
  <w:style w:type="character" w:styleId="ListLabel547">
    <w:name w:val="ListLabel 547"/>
    <w:qFormat/>
    <w:rPr>
      <w:rFonts w:cs="Courier New"/>
    </w:rPr>
  </w:style>
  <w:style w:type="character" w:styleId="ListLabel548">
    <w:name w:val="ListLabel 548"/>
    <w:qFormat/>
    <w:rPr>
      <w:rFonts w:cs="Wingdings"/>
    </w:rPr>
  </w:style>
  <w:style w:type="character" w:styleId="ListLabel549">
    <w:name w:val="ListLabel 549"/>
    <w:qFormat/>
    <w:rPr>
      <w:rFonts w:cs="Symbol"/>
    </w:rPr>
  </w:style>
  <w:style w:type="character" w:styleId="ListLabel550">
    <w:name w:val="ListLabel 550"/>
    <w:qFormat/>
    <w:rPr>
      <w:rFonts w:cs="OpenSymbol"/>
    </w:rPr>
  </w:style>
  <w:style w:type="character" w:styleId="ListLabel551">
    <w:name w:val="ListLabel 551"/>
    <w:qFormat/>
    <w:rPr>
      <w:rFonts w:cs="OpenSymbol"/>
    </w:rPr>
  </w:style>
  <w:style w:type="character" w:styleId="ListLabel552">
    <w:name w:val="ListLabel 552"/>
    <w:qFormat/>
    <w:rPr>
      <w:rFonts w:cs="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sz w:val="24"/>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cs="Symbol"/>
      <w:sz w:val="24"/>
    </w:rPr>
  </w:style>
  <w:style w:type="character" w:styleId="ListLabel568">
    <w:name w:val="ListLabel 568"/>
    <w:qFormat/>
    <w:rPr>
      <w:rFonts w:cs="Symbol"/>
      <w:sz w:val="24"/>
    </w:rPr>
  </w:style>
  <w:style w:type="character" w:styleId="ListLabel569">
    <w:name w:val="ListLabel 569"/>
    <w:qFormat/>
    <w:rPr>
      <w:rFonts w:cs="Symbol"/>
      <w:sz w:val="24"/>
    </w:rPr>
  </w:style>
  <w:style w:type="character" w:styleId="ListLabel570">
    <w:name w:val="ListLabel 570"/>
    <w:qFormat/>
    <w:rPr>
      <w:rFonts w:cs="Courier New"/>
    </w:rPr>
  </w:style>
  <w:style w:type="character" w:styleId="ListLabel571">
    <w:name w:val="ListLabel 571"/>
    <w:qFormat/>
    <w:rPr>
      <w:rFonts w:cs="Wingdings"/>
    </w:rPr>
  </w:style>
  <w:style w:type="character" w:styleId="ListLabel572">
    <w:name w:val="ListLabel 572"/>
    <w:qFormat/>
    <w:rPr>
      <w:rFonts w:cs="Symbol"/>
    </w:rPr>
  </w:style>
  <w:style w:type="character" w:styleId="ListLabel573">
    <w:name w:val="ListLabel 573"/>
    <w:qFormat/>
    <w:rPr>
      <w:rFonts w:cs="Courier New"/>
    </w:rPr>
  </w:style>
  <w:style w:type="character" w:styleId="ListLabel574">
    <w:name w:val="ListLabel 574"/>
    <w:qFormat/>
    <w:rPr>
      <w:rFonts w:cs="Wingdings"/>
    </w:rPr>
  </w:style>
  <w:style w:type="character" w:styleId="ListLabel575">
    <w:name w:val="ListLabel 575"/>
    <w:qFormat/>
    <w:rPr>
      <w:rFonts w:cs="Symbol"/>
    </w:rPr>
  </w:style>
  <w:style w:type="character" w:styleId="ListLabel576">
    <w:name w:val="ListLabel 576"/>
    <w:qFormat/>
    <w:rPr>
      <w:rFonts w:cs="Courier New"/>
    </w:rPr>
  </w:style>
  <w:style w:type="character" w:styleId="ListLabel577">
    <w:name w:val="ListLabel 577"/>
    <w:qFormat/>
    <w:rPr>
      <w:rFonts w:cs="Wingdings"/>
    </w:rPr>
  </w:style>
  <w:style w:type="character" w:styleId="ListLabel578">
    <w:name w:val="ListLabel 578"/>
    <w:qFormat/>
    <w:rPr>
      <w:rFonts w:cs="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Symbol"/>
    </w:rPr>
  </w:style>
  <w:style w:type="character" w:styleId="ListLabel585">
    <w:name w:val="ListLabel 585"/>
    <w:qFormat/>
    <w:rPr>
      <w:rFonts w:cs="OpenSymbol"/>
    </w:rPr>
  </w:style>
  <w:style w:type="character" w:styleId="ListLabel586">
    <w:name w:val="ListLabel 586"/>
    <w:qFormat/>
    <w:rPr>
      <w:rFonts w:cs="OpenSymbol"/>
    </w:rPr>
  </w:style>
  <w:style w:type="character" w:styleId="ListLabel587">
    <w:name w:val="ListLabel 587"/>
    <w:qFormat/>
    <w:rPr>
      <w:rFonts w:cs="OpenSymbol"/>
      <w:sz w:val="24"/>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rPr>
  </w:style>
  <w:style w:type="character" w:styleId="ListLabel596">
    <w:name w:val="ListLabel 596"/>
    <w:qFormat/>
    <w:rPr>
      <w:rFonts w:cs="Symbol"/>
      <w:sz w:val="24"/>
    </w:rPr>
  </w:style>
  <w:style w:type="character" w:styleId="ListLabel597">
    <w:name w:val="ListLabel 597"/>
    <w:qFormat/>
    <w:rPr>
      <w:rFonts w:cs="Courier New"/>
    </w:rPr>
  </w:style>
  <w:style w:type="character" w:styleId="ListLabel598">
    <w:name w:val="ListLabel 598"/>
    <w:qFormat/>
    <w:rPr>
      <w:rFonts w:cs="Wingdings"/>
    </w:rPr>
  </w:style>
  <w:style w:type="character" w:styleId="ListLabel599">
    <w:name w:val="ListLabel 599"/>
    <w:qFormat/>
    <w:rPr>
      <w:rFonts w:cs="Symbol"/>
    </w:rPr>
  </w:style>
  <w:style w:type="character" w:styleId="ListLabel600">
    <w:name w:val="ListLabel 600"/>
    <w:qFormat/>
    <w:rPr>
      <w:rFonts w:cs="OpenSymbol"/>
    </w:rPr>
  </w:style>
  <w:style w:type="character" w:styleId="ListLabel601">
    <w:name w:val="ListLabel 601"/>
    <w:qFormat/>
    <w:rPr>
      <w:rFonts w:cs="OpenSymbol"/>
      <w:sz w:val="24"/>
    </w:rPr>
  </w:style>
  <w:style w:type="character" w:styleId="ListLabel602">
    <w:name w:val="ListLabel 602"/>
    <w:qFormat/>
    <w:rPr>
      <w:rFonts w:cs="Symbol"/>
      <w:sz w:val="24"/>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cs="Symbol"/>
    </w:rPr>
  </w:style>
  <w:style w:type="character" w:styleId="ListLabel606">
    <w:name w:val="ListLabel 606"/>
    <w:qFormat/>
    <w:rPr>
      <w:rFonts w:cs="OpenSymbol"/>
    </w:rPr>
  </w:style>
  <w:style w:type="character" w:styleId="ListLabel607">
    <w:name w:val="ListLabel 607"/>
    <w:qFormat/>
    <w:rPr>
      <w:rFonts w:cs="Symbol"/>
      <w:sz w:val="24"/>
    </w:rPr>
  </w:style>
  <w:style w:type="character" w:styleId="ListLabel608">
    <w:name w:val="ListLabel 608"/>
    <w:qFormat/>
    <w:rPr>
      <w:rFonts w:cs="Courier New"/>
    </w:rPr>
  </w:style>
  <w:style w:type="character" w:styleId="ListLabel609">
    <w:name w:val="ListLabel 609"/>
    <w:qFormat/>
    <w:rPr>
      <w:rFonts w:cs="Wingdings"/>
    </w:rPr>
  </w:style>
  <w:style w:type="character" w:styleId="ListLabel610">
    <w:name w:val="ListLabel 610"/>
    <w:qFormat/>
    <w:rPr>
      <w:rFonts w:cs="Symbol"/>
    </w:rPr>
  </w:style>
  <w:style w:type="character" w:styleId="ListLabel611">
    <w:name w:val="ListLabel 611"/>
    <w:qFormat/>
    <w:rPr>
      <w:rFonts w:cs="OpenSymbol"/>
    </w:rPr>
  </w:style>
  <w:style w:type="character" w:styleId="ListLabel612">
    <w:name w:val="ListLabel 612"/>
    <w:qFormat/>
    <w:rPr>
      <w:rFonts w:cs="Symbol"/>
      <w:sz w:val="24"/>
    </w:rPr>
  </w:style>
  <w:style w:type="character" w:styleId="ListLabel613">
    <w:name w:val="ListLabel 613"/>
    <w:qFormat/>
    <w:rPr>
      <w:rFonts w:cs="Courier New"/>
    </w:rPr>
  </w:style>
  <w:style w:type="character" w:styleId="ListLabel614">
    <w:name w:val="ListLabel 614"/>
    <w:qFormat/>
    <w:rPr>
      <w:rFonts w:cs="Wingdings"/>
    </w:rPr>
  </w:style>
  <w:style w:type="character" w:styleId="ListLabel615">
    <w:name w:val="ListLabel 615"/>
    <w:qFormat/>
    <w:rPr>
      <w:rFonts w:cs="Symbol"/>
    </w:rPr>
  </w:style>
  <w:style w:type="character" w:styleId="ListLabel616">
    <w:name w:val="ListLabel 616"/>
    <w:qFormat/>
    <w:rPr>
      <w:rFonts w:cs="OpenSymbol"/>
    </w:rPr>
  </w:style>
  <w:style w:type="character" w:styleId="ListLabel617">
    <w:name w:val="ListLabel 617"/>
    <w:qFormat/>
    <w:rPr>
      <w:rFonts w:cs="Symbol"/>
      <w:sz w:val="24"/>
    </w:rPr>
  </w:style>
  <w:style w:type="character" w:styleId="ListLabel618">
    <w:name w:val="ListLabel 618"/>
    <w:qFormat/>
    <w:rPr>
      <w:rFonts w:cs="Courier New"/>
    </w:rPr>
  </w:style>
  <w:style w:type="character" w:styleId="ListLabel619">
    <w:name w:val="ListLabel 619"/>
    <w:qFormat/>
    <w:rPr>
      <w:rFonts w:cs="Wingdings"/>
    </w:rPr>
  </w:style>
  <w:style w:type="character" w:styleId="ListLabel620">
    <w:name w:val="ListLabel 620"/>
    <w:qFormat/>
    <w:rPr>
      <w:rFonts w:cs="Symbol"/>
    </w:rPr>
  </w:style>
  <w:style w:type="character" w:styleId="ListLabel621">
    <w:name w:val="ListLabel 621"/>
    <w:qFormat/>
    <w:rPr>
      <w:rFonts w:cs="OpenSymbol"/>
    </w:rPr>
  </w:style>
  <w:style w:type="character" w:styleId="ListLabel622">
    <w:name w:val="ListLabel 622"/>
    <w:qFormat/>
    <w:rPr>
      <w:rFonts w:cs="Symbol"/>
      <w:sz w:val="24"/>
    </w:rPr>
  </w:style>
  <w:style w:type="character" w:styleId="ListLabel623">
    <w:name w:val="ListLabel 623"/>
    <w:qFormat/>
    <w:rPr>
      <w:rFonts w:cs="Courier New"/>
    </w:rPr>
  </w:style>
  <w:style w:type="character" w:styleId="ListLabel624">
    <w:name w:val="ListLabel 624"/>
    <w:qFormat/>
    <w:rPr>
      <w:rFonts w:cs="Wingdings"/>
    </w:rPr>
  </w:style>
  <w:style w:type="character" w:styleId="ListLabel625">
    <w:name w:val="ListLabel 625"/>
    <w:qFormat/>
    <w:rPr>
      <w:rFonts w:cs="Symbol"/>
    </w:rPr>
  </w:style>
  <w:style w:type="character" w:styleId="ListLabel626">
    <w:name w:val="ListLabel 626"/>
    <w:qFormat/>
    <w:rPr>
      <w:rFonts w:cs="OpenSymbol"/>
    </w:rPr>
  </w:style>
  <w:style w:type="character" w:styleId="ListLabel627">
    <w:name w:val="ListLabel 627"/>
    <w:qFormat/>
    <w:rPr>
      <w:rFonts w:cs="Symbol"/>
      <w:sz w:val="24"/>
    </w:rPr>
  </w:style>
  <w:style w:type="character" w:styleId="ListLabel628">
    <w:name w:val="ListLabel 628"/>
    <w:qFormat/>
    <w:rPr>
      <w:rFonts w:cs="Courier New"/>
    </w:rPr>
  </w:style>
  <w:style w:type="character" w:styleId="ListLabel629">
    <w:name w:val="ListLabel 629"/>
    <w:qFormat/>
    <w:rPr>
      <w:rFonts w:cs="Wingdings"/>
    </w:rPr>
  </w:style>
  <w:style w:type="character" w:styleId="ListLabel630">
    <w:name w:val="ListLabel 630"/>
    <w:qFormat/>
    <w:rPr>
      <w:rFonts w:cs="Symbol"/>
    </w:rPr>
  </w:style>
  <w:style w:type="character" w:styleId="ListLabel631">
    <w:name w:val="ListLabel 631"/>
    <w:qFormat/>
    <w:rPr>
      <w:rFonts w:cs="OpenSymbol"/>
    </w:rPr>
  </w:style>
  <w:style w:type="character" w:styleId="ListLabel632">
    <w:name w:val="ListLabel 632"/>
    <w:qFormat/>
    <w:rPr>
      <w:rFonts w:cs="Symbol"/>
      <w:sz w:val="24"/>
    </w:rPr>
  </w:style>
  <w:style w:type="character" w:styleId="ListLabel633">
    <w:name w:val="ListLabel 633"/>
    <w:qFormat/>
    <w:rPr>
      <w:rFonts w:cs="Courier New"/>
    </w:rPr>
  </w:style>
  <w:style w:type="character" w:styleId="ListLabel634">
    <w:name w:val="ListLabel 634"/>
    <w:qFormat/>
    <w:rPr>
      <w:rFonts w:cs="Wingdings"/>
    </w:rPr>
  </w:style>
  <w:style w:type="character" w:styleId="ListLabel635">
    <w:name w:val="ListLabel 635"/>
    <w:qFormat/>
    <w:rPr>
      <w:rFonts w:cs="Symbol"/>
    </w:rPr>
  </w:style>
  <w:style w:type="character" w:styleId="ListLabel636">
    <w:name w:val="ListLabel 636"/>
    <w:qFormat/>
    <w:rPr>
      <w:rFonts w:cs="OpenSymbol"/>
    </w:rPr>
  </w:style>
  <w:style w:type="character" w:styleId="ListLabel893">
    <w:name w:val="ListLabel 893"/>
    <w:qFormat/>
    <w:rPr>
      <w:rFonts w:cs="Symbol"/>
    </w:rPr>
  </w:style>
  <w:style w:type="character" w:styleId="ListLabel892">
    <w:name w:val="ListLabel 892"/>
    <w:qFormat/>
    <w:rPr>
      <w:rFonts w:cs="OpenSymbol"/>
    </w:rPr>
  </w:style>
  <w:style w:type="character" w:styleId="ListLabel894">
    <w:name w:val="ListLabel 894"/>
    <w:qFormat/>
    <w:rPr>
      <w:rFonts w:cs="Symbol"/>
      <w:sz w:val="24"/>
    </w:rPr>
  </w:style>
  <w:style w:type="character" w:styleId="ListLabel895">
    <w:name w:val="ListLabel 895"/>
    <w:qFormat/>
    <w:rPr>
      <w:rFonts w:cs="Courier New"/>
    </w:rPr>
  </w:style>
  <w:style w:type="character" w:styleId="ListLabel896">
    <w:name w:val="ListLabel 896"/>
    <w:qFormat/>
    <w:rPr>
      <w:rFonts w:cs="Wingdings"/>
    </w:rPr>
  </w:style>
  <w:style w:type="character" w:styleId="ListLabel897">
    <w:name w:val="ListLabel 897"/>
    <w:qFormat/>
    <w:rPr>
      <w:rFonts w:cs="Symbol"/>
    </w:rPr>
  </w:style>
  <w:style w:type="character" w:styleId="ListLabel898">
    <w:name w:val="ListLabel 898"/>
    <w:qFormat/>
    <w:rPr>
      <w:rFonts w:cs="OpenSymbol"/>
    </w:rPr>
  </w:style>
  <w:style w:type="character" w:styleId="ListLabel899">
    <w:name w:val="ListLabel 899"/>
    <w:qFormat/>
    <w:rPr>
      <w:rFonts w:cs="Symbol"/>
      <w:sz w:val="24"/>
    </w:rPr>
  </w:style>
  <w:style w:type="character" w:styleId="ListLabel900">
    <w:name w:val="ListLabel 900"/>
    <w:qFormat/>
    <w:rPr>
      <w:rFonts w:cs="Symbol"/>
      <w:sz w:val="24"/>
    </w:rPr>
  </w:style>
  <w:style w:type="character" w:styleId="ListLabel901">
    <w:name w:val="ListLabel 901"/>
    <w:qFormat/>
    <w:rPr>
      <w:rFonts w:cs="Symbol"/>
      <w:sz w:val="24"/>
    </w:rPr>
  </w:style>
  <w:style w:type="character" w:styleId="ListLabel902">
    <w:name w:val="ListLabel 902"/>
    <w:qFormat/>
    <w:rPr>
      <w:rFonts w:cs="Courier New"/>
    </w:rPr>
  </w:style>
  <w:style w:type="character" w:styleId="ListLabel903">
    <w:name w:val="ListLabel 903"/>
    <w:qFormat/>
    <w:rPr>
      <w:rFonts w:cs="Wingdings"/>
    </w:rPr>
  </w:style>
  <w:style w:type="character" w:styleId="ListLabel904">
    <w:name w:val="ListLabel 904"/>
    <w:qFormat/>
    <w:rPr>
      <w:rFonts w:cs="Symbol"/>
    </w:rPr>
  </w:style>
  <w:style w:type="character" w:styleId="ListLabel905">
    <w:name w:val="ListLabel 905"/>
    <w:qFormat/>
    <w:rPr>
      <w:rFonts w:cs="Courier New"/>
    </w:rPr>
  </w:style>
  <w:style w:type="character" w:styleId="ListLabel906">
    <w:name w:val="ListLabel 906"/>
    <w:qFormat/>
    <w:rPr>
      <w:rFonts w:cs="Wingdings"/>
    </w:rPr>
  </w:style>
  <w:style w:type="character" w:styleId="ListLabel907">
    <w:name w:val="ListLabel 907"/>
    <w:qFormat/>
    <w:rPr>
      <w:rFonts w:cs="Symbol"/>
    </w:rPr>
  </w:style>
  <w:style w:type="character" w:styleId="ListLabel908">
    <w:name w:val="ListLabel 908"/>
    <w:qFormat/>
    <w:rPr>
      <w:rFonts w:cs="Courier New"/>
    </w:rPr>
  </w:style>
  <w:style w:type="character" w:styleId="ListLabel909">
    <w:name w:val="ListLabel 909"/>
    <w:qFormat/>
    <w:rPr>
      <w:rFonts w:cs="Wingdings"/>
    </w:rPr>
  </w:style>
  <w:style w:type="character" w:styleId="ListLabel910">
    <w:name w:val="ListLabel 910"/>
    <w:qFormat/>
    <w:rPr>
      <w:rFonts w:cs="Symbol"/>
      <w:b/>
      <w:sz w:val="24"/>
    </w:rPr>
  </w:style>
  <w:style w:type="character" w:styleId="ListLabel911">
    <w:name w:val="ListLabel 911"/>
    <w:qFormat/>
    <w:rPr>
      <w:rFonts w:cs="OpenSymbol"/>
    </w:rPr>
  </w:style>
  <w:style w:type="character" w:styleId="ListLabel912">
    <w:name w:val="ListLabel 912"/>
    <w:qFormat/>
    <w:rPr>
      <w:rFonts w:cs="OpenSymbol"/>
    </w:rPr>
  </w:style>
  <w:style w:type="character" w:styleId="ListLabel913">
    <w:name w:val="ListLabel 913"/>
    <w:qFormat/>
    <w:rPr>
      <w:rFonts w:cs="Symbol"/>
    </w:rPr>
  </w:style>
  <w:style w:type="character" w:styleId="ListLabel914">
    <w:name w:val="ListLabel 914"/>
    <w:qFormat/>
    <w:rPr>
      <w:rFonts w:cs="OpenSymbol"/>
    </w:rPr>
  </w:style>
  <w:style w:type="character" w:styleId="ListLabel915">
    <w:name w:val="ListLabel 915"/>
    <w:qFormat/>
    <w:rPr>
      <w:rFonts w:cs="OpenSymbol"/>
    </w:rPr>
  </w:style>
  <w:style w:type="character" w:styleId="ListLabel916">
    <w:name w:val="ListLabel 916"/>
    <w:qFormat/>
    <w:rPr>
      <w:rFonts w:cs="Symbol"/>
    </w:rPr>
  </w:style>
  <w:style w:type="character" w:styleId="ListLabel917">
    <w:name w:val="ListLabel 917"/>
    <w:qFormat/>
    <w:rPr>
      <w:rFonts w:cs="OpenSymbol"/>
    </w:rPr>
  </w:style>
  <w:style w:type="character" w:styleId="ListLabel918">
    <w:name w:val="ListLabel 918"/>
    <w:qFormat/>
    <w:rPr>
      <w:rFonts w:cs="OpenSymbol"/>
    </w:rPr>
  </w:style>
  <w:style w:type="character" w:styleId="ListLabel919">
    <w:name w:val="ListLabel 919"/>
    <w:qFormat/>
    <w:rPr>
      <w:rFonts w:cs="Wingdings"/>
      <w:b w:val="false"/>
      <w:sz w:val="24"/>
    </w:rPr>
  </w:style>
  <w:style w:type="character" w:styleId="ListLabel920">
    <w:name w:val="ListLabel 920"/>
    <w:qFormat/>
    <w:rPr>
      <w:rFonts w:cs="OpenSymbol"/>
    </w:rPr>
  </w:style>
  <w:style w:type="character" w:styleId="ListLabel921">
    <w:name w:val="ListLabel 921"/>
    <w:qFormat/>
    <w:rPr>
      <w:rFonts w:cs="OpenSymbol"/>
    </w:rPr>
  </w:style>
  <w:style w:type="character" w:styleId="ListLabel922">
    <w:name w:val="ListLabel 922"/>
    <w:qFormat/>
    <w:rPr>
      <w:rFonts w:cs="Symbol"/>
    </w:rPr>
  </w:style>
  <w:style w:type="character" w:styleId="ListLabel923">
    <w:name w:val="ListLabel 923"/>
    <w:qFormat/>
    <w:rPr>
      <w:rFonts w:cs="OpenSymbol"/>
    </w:rPr>
  </w:style>
  <w:style w:type="character" w:styleId="ListLabel924">
    <w:name w:val="ListLabel 924"/>
    <w:qFormat/>
    <w:rPr>
      <w:rFonts w:cs="OpenSymbol"/>
    </w:rPr>
  </w:style>
  <w:style w:type="character" w:styleId="ListLabel925">
    <w:name w:val="ListLabel 925"/>
    <w:qFormat/>
    <w:rPr>
      <w:rFonts w:cs="Symbol"/>
    </w:rPr>
  </w:style>
  <w:style w:type="character" w:styleId="ListLabel926">
    <w:name w:val="ListLabel 926"/>
    <w:qFormat/>
    <w:rPr>
      <w:rFonts w:cs="OpenSymbol"/>
    </w:rPr>
  </w:style>
  <w:style w:type="character" w:styleId="ListLabel927">
    <w:name w:val="ListLabel 927"/>
    <w:qFormat/>
    <w:rPr>
      <w:rFonts w:cs="OpenSymbol"/>
    </w:rPr>
  </w:style>
  <w:style w:type="character" w:styleId="ListLabel1418">
    <w:name w:val="ListLabel 1418"/>
    <w:qFormat/>
    <w:rPr>
      <w:rFonts w:cs="Symbol"/>
      <w:sz w:val="24"/>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Symbol"/>
    </w:rPr>
  </w:style>
  <w:style w:type="character" w:styleId="ListLabel1422">
    <w:name w:val="ListLabel 1422"/>
    <w:qFormat/>
    <w:rPr>
      <w:rFonts w:cs="OpenSymbol"/>
    </w:rPr>
  </w:style>
  <w:style w:type="character" w:styleId="ListLabel1423">
    <w:name w:val="ListLabel 1423"/>
    <w:qFormat/>
    <w:rPr>
      <w:rFonts w:cs="OpenSymbol"/>
    </w:rPr>
  </w:style>
  <w:style w:type="character" w:styleId="ListLabel1424">
    <w:name w:val="ListLabel 1424"/>
    <w:qFormat/>
    <w:rPr>
      <w:rFonts w:cs="Symbol"/>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00">
    <w:name w:val="ListLabel 1400"/>
    <w:qFormat/>
    <w:rPr>
      <w:rFonts w:cs="Wingdings"/>
      <w:b w:val="false"/>
      <w:sz w:val="24"/>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27">
    <w:name w:val="ListLabel 1427"/>
    <w:rPr>
      <w:rFonts w:cs="Symbol"/>
      <w:sz w:val="24"/>
    </w:rPr>
  </w:style>
  <w:style w:type="character" w:styleId="ListLabel1428">
    <w:name w:val="ListLabel 1428"/>
    <w:rPr>
      <w:rFonts w:cs="Courier New"/>
    </w:rPr>
  </w:style>
  <w:style w:type="character" w:styleId="ListLabel1429">
    <w:name w:val="ListLabel 1429"/>
    <w:rPr>
      <w:rFonts w:cs="Wingdings"/>
    </w:rPr>
  </w:style>
  <w:style w:type="character" w:styleId="ListLabel1430">
    <w:name w:val="ListLabel 1430"/>
    <w:rPr>
      <w:rFonts w:cs="Symbol"/>
    </w:rPr>
  </w:style>
  <w:style w:type="character" w:styleId="ListLabel1431">
    <w:name w:val="ListLabel 1431"/>
    <w:rPr>
      <w:rFonts w:cs="Symbol"/>
      <w:b/>
      <w:sz w:val="24"/>
    </w:rPr>
  </w:style>
  <w:style w:type="character" w:styleId="ListLabel1432">
    <w:name w:val="ListLabel 1432"/>
    <w:rPr>
      <w:rFonts w:cs="OpenSymbol"/>
    </w:rPr>
  </w:style>
  <w:style w:type="character" w:styleId="ListLabel1433">
    <w:name w:val="ListLabel 1433"/>
    <w:rPr>
      <w:rFonts w:cs="Wingdings"/>
      <w:b w:val="false"/>
      <w:sz w:val="24"/>
    </w:rPr>
  </w:style>
  <w:style w:type="character" w:styleId="ListLabel1609">
    <w:name w:val="ListLabel 1609"/>
    <w:rPr>
      <w:rFonts w:cs="Symbol"/>
    </w:rPr>
  </w:style>
  <w:style w:type="character" w:styleId="ListLabel1611">
    <w:name w:val="ListLabel 1611"/>
    <w:rPr>
      <w:rFonts w:cs="OpenSymbol"/>
    </w:rPr>
  </w:style>
  <w:style w:type="character" w:styleId="ListLabel1612">
    <w:name w:val="ListLabel 1612"/>
    <w:rPr>
      <w:rFonts w:cs="Symbol"/>
      <w:sz w:val="24"/>
    </w:rPr>
  </w:style>
  <w:style w:type="character" w:styleId="ListLabel1613">
    <w:name w:val="ListLabel 1613"/>
    <w:rPr>
      <w:rFonts w:cs="Courier New"/>
    </w:rPr>
  </w:style>
  <w:style w:type="character" w:styleId="ListLabel1614">
    <w:name w:val="ListLabel 1614"/>
    <w:rPr>
      <w:rFonts w:cs="Wingdings"/>
    </w:rPr>
  </w:style>
  <w:style w:type="character" w:styleId="ListLabel1615">
    <w:name w:val="ListLabel 1615"/>
    <w:rPr>
      <w:rFonts w:cs="Symbol"/>
    </w:rPr>
  </w:style>
  <w:style w:type="character" w:styleId="ListLabel1616">
    <w:name w:val="ListLabel 1616"/>
    <w:rPr>
      <w:rFonts w:cs="Symbol"/>
      <w:b/>
      <w:sz w:val="24"/>
    </w:rPr>
  </w:style>
  <w:style w:type="character" w:styleId="ListLabel1617">
    <w:name w:val="ListLabel 1617"/>
    <w:rPr>
      <w:rFonts w:cs="OpenSymbol"/>
    </w:rPr>
  </w:style>
  <w:style w:type="character" w:styleId="ListLabel1618">
    <w:name w:val="ListLabel 1618"/>
    <w:rPr>
      <w:rFonts w:cs="Wingdings"/>
      <w:b w:val="false"/>
      <w:sz w:val="24"/>
    </w:rPr>
  </w:style>
  <w:style w:type="character" w:styleId="ListLabel1619">
    <w:name w:val="ListLabel 1619"/>
    <w:rPr>
      <w:rFonts w:cs="Symbol"/>
      <w:sz w:val="24"/>
    </w:rPr>
  </w:style>
  <w:style w:type="character" w:styleId="ListLabel1620">
    <w:name w:val="ListLabel 1620"/>
    <w:rPr>
      <w:rFonts w:cs="Courier New"/>
    </w:rPr>
  </w:style>
  <w:style w:type="character" w:styleId="ListLabel1621">
    <w:name w:val="ListLabel 1621"/>
    <w:rPr>
      <w:rFonts w:cs="Wingdings"/>
    </w:rPr>
  </w:style>
  <w:style w:type="character" w:styleId="ListLabel1622">
    <w:name w:val="ListLabel 1622"/>
    <w:rPr>
      <w:rFonts w:cs="Symbol"/>
    </w:rPr>
  </w:style>
  <w:style w:type="character" w:styleId="ListLabel1623">
    <w:name w:val="ListLabel 1623"/>
    <w:rPr>
      <w:rFonts w:cs="Symbol"/>
      <w:b/>
      <w:sz w:val="24"/>
    </w:rPr>
  </w:style>
  <w:style w:type="character" w:styleId="ListLabel1624">
    <w:name w:val="ListLabel 1624"/>
    <w:rPr>
      <w:rFonts w:cs="OpenSymbol"/>
    </w:rPr>
  </w:style>
  <w:style w:type="character" w:styleId="ListLabel1625">
    <w:name w:val="ListLabel 1625"/>
    <w:rPr>
      <w:rFonts w:cs="MT Extra"/>
    </w:rPr>
  </w:style>
  <w:style w:type="character" w:styleId="ListLabel1626">
    <w:name w:val="ListLabel 1626"/>
    <w:rPr>
      <w:rFonts w:cs="Symbol"/>
      <w:sz w:val="24"/>
    </w:rPr>
  </w:style>
  <w:style w:type="character" w:styleId="ListLabel1627">
    <w:name w:val="ListLabel 1627"/>
    <w:rPr>
      <w:rFonts w:cs="Courier New"/>
    </w:rPr>
  </w:style>
  <w:style w:type="character" w:styleId="ListLabel1628">
    <w:name w:val="ListLabel 1628"/>
    <w:rPr>
      <w:rFonts w:cs="Wingdings"/>
    </w:rPr>
  </w:style>
  <w:style w:type="character" w:styleId="ListLabel1629">
    <w:name w:val="ListLabel 1629"/>
    <w:rPr>
      <w:rFonts w:cs="Symbol"/>
    </w:rPr>
  </w:style>
  <w:style w:type="character" w:styleId="ListLabel1630">
    <w:name w:val="ListLabel 1630"/>
    <w:rPr>
      <w:rFonts w:cs="Symbol"/>
      <w:b/>
      <w:sz w:val="24"/>
    </w:rPr>
  </w:style>
  <w:style w:type="character" w:styleId="ListLabel1631">
    <w:name w:val="ListLabel 1631"/>
    <w:rPr>
      <w:rFonts w:cs="OpenSymbol"/>
    </w:rPr>
  </w:style>
  <w:style w:type="character" w:styleId="ListLabel1632">
    <w:name w:val="ListLabel 1632"/>
    <w:rPr>
      <w:rFonts w:cs="MT Extra"/>
    </w:rPr>
  </w:style>
  <w:style w:type="paragraph" w:styleId="Titolo" w:customStyle="1">
    <w:name w:val="Titolo"/>
    <w:qFormat/>
    <w:basedOn w:val="Normal"/>
    <w:next w:val="Corpodeltesto"/>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Corpo del testo"/>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uiPriority w:val="99"/>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Citazione" w:customStyle="1">
    <w:name w:val="Citazione"/>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basedOn w:val="Normal"/>
    <w:pPr>
      <w:suppressLineNumbers/>
      <w:ind w:left="283" w:right="0" w:hanging="283"/>
    </w:pPr>
    <w:rPr>
      <w:sz w:val="20"/>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0"/>
      <w:szCs w:val="20"/>
      <w:lang w:val="it-IT" w:eastAsia="it-IT" w:bidi="ar-SA"/>
    </w:rPr>
  </w:style>
  <w:style w:type="paragraph" w:styleId="Normale1">
    <w:name w:val="Normale1"/>
    <w:pPr>
      <w:widowControl/>
      <w:suppressAutoHyphens w:val="true"/>
      <w:overflowPunct w:val="true"/>
      <w:bidi w:val="0"/>
      <w:jc w:val="left"/>
      <w:textAlignment w:val="baseline"/>
    </w:pPr>
    <w:rPr>
      <w:rFonts w:ascii="Times New Roman" w:hAnsi="Times New Roman" w:eastAsia="Times New Roman" w:cs="Times New Roman"/>
      <w:color w:val="00000A"/>
      <w:sz w:val="24"/>
      <w:szCs w:val="20"/>
      <w:lang w:val="it-IT" w:eastAsia="zh-CN" w:bidi="ar-SA"/>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osettiegatti.eu/info/ANAC/anac_linee_guida/2017_LG_006_1008_illeciti professionali.pdf" TargetMode="External"/><Relationship Id="rId3" Type="http://schemas.openxmlformats.org/officeDocument/2006/relationships/hyperlink" Target="http://www.bosettiegatti.eu/info/ANAC/anac_linee_guida/2017_LG_006_1008_illeciti professionali.pdf" TargetMode="External"/><Relationship Id="rId4" Type="http://schemas.openxmlformats.org/officeDocument/2006/relationships/hyperlink" Target="http://www.bosettiegatti.eu/info/ANAC/anac_linee_guida/2017_LG_006_1008_illeciti professionali.pdf"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4EC8-FA2F-4B84-8229-BA4614B5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2018-11-22T13:45:00Z</dcterms:created>
  <dc:language>it-IT</dc:language>
  <cp:lastPrinted>2019-04-23T16:18:55Z</cp:lastPrinted>
  <dcterms:modified xsi:type="dcterms:W3CDTF">2019-04-18T16:04:08Z</dcterms:modified>
  <cp:revision>17</cp:revision>
</cp:coreProperties>
</file>