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Spett.le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Centrale Unica di Committenza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dell’Unione Tresinaro Secchia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Corso Vallisneri, n. 6</w:t>
      </w:r>
    </w:p>
    <w:p>
      <w:pPr>
        <w:pStyle w:val="Normal"/>
        <w:widowControl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42019 Scandiano (RE)</w:t>
      </w:r>
    </w:p>
    <w:p>
      <w:pPr>
        <w:pStyle w:val="Titolo6"/>
        <w:spacing w:lineRule="atLeast" w:line="283" w:before="0" w:after="0"/>
        <w:ind w:left="0" w:right="0" w:hanging="0"/>
        <w:contextualSpacing/>
        <w:jc w:val="right"/>
        <w:rPr>
          <w:rFonts w:eastAsia="Arial Unicode MS" w:cs="Tahoma"/>
          <w:b w:val="false"/>
          <w:bCs/>
          <w:sz w:val="21"/>
          <w:szCs w:val="21"/>
          <w:u w:val="single"/>
        </w:rPr>
      </w:pPr>
      <w:r>
        <w:rPr>
          <w:rFonts w:eastAsia="Arial Unicode MS" w:cs="Tahoma"/>
          <w:b w:val="false"/>
          <w:bCs/>
          <w:sz w:val="21"/>
          <w:szCs w:val="21"/>
          <w:u w:val="single"/>
        </w:rPr>
        <w:t>Inviato mediante piattaforma telematica</w:t>
      </w:r>
    </w:p>
    <w:p>
      <w:pPr>
        <w:pStyle w:val="Normal"/>
        <w:spacing w:lineRule="atLeast" w:line="283" w:before="0" w:after="0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eltesto"/>
        <w:widowControl/>
        <w:suppressAutoHyphens w:val="true"/>
        <w:spacing w:lineRule="atLeast" w:line="340" w:before="0" w:after="120"/>
        <w:ind w:left="0" w:right="0" w:hanging="0"/>
        <w:jc w:val="both"/>
        <w:rPr>
          <w:rStyle w:val="Carpredefinitoparagrafo"/>
          <w:rFonts w:eastAsia="SimSun;宋体" w:cs="Mangal"/>
          <w:b w:val="false"/>
          <w:bCs w:val="false"/>
          <w:caps/>
          <w:sz w:val="22"/>
          <w:szCs w:val="22"/>
          <w:u w:val="none"/>
          <w:shd w:fill="FFFFFF" w:val="clear"/>
          <w:lang w:bidi="hi-IN"/>
        </w:rPr>
      </w:pPr>
      <w:r>
        <w:rPr>
          <w:rStyle w:val="Carpredefinitoparagrafo"/>
          <w:rFonts w:eastAsia="SimSun;宋体" w:cs="Mangal"/>
          <w:b/>
          <w:bCs/>
          <w:caps/>
          <w:sz w:val="22"/>
          <w:szCs w:val="22"/>
          <w:u w:val="none"/>
          <w:shd w:fill="FFFFFF" w:val="clear"/>
          <w:lang w:bidi="hi-IN"/>
        </w:rPr>
        <w:t xml:space="preserve">OGGETTO: </w:t>
      </w:r>
      <w:r>
        <w:rPr>
          <w:rStyle w:val="Carpredefinitoparagrafo"/>
          <w:rFonts w:eastAsia="SimSun;宋体" w:cs="Mangal"/>
          <w:b w:val="false"/>
          <w:bCs w:val="false"/>
          <w:caps/>
          <w:sz w:val="22"/>
          <w:szCs w:val="22"/>
          <w:u w:val="none"/>
          <w:shd w:fill="FFFFFF" w:val="clear"/>
          <w:lang w:bidi="hi-IN"/>
        </w:rPr>
        <w:t xml:space="preserve">PROCEDURA APERTA TELEMATICA SU PIATTAFORMA SATER PER L’AFFIDAMENTO IN APPALTO DELLA “PISTA CICLABILE BOSCO-PRATISSOLO LOTTO 2 – 3° STRALCIO: OPERE DI URBANIZZAZIONE E MESSA IN SICUREZZA STRADALE NELL'ABITATO DI SGARBUSA” </w:t>
      </w:r>
    </w:p>
    <w:p>
      <w:pPr>
        <w:pStyle w:val="Normal"/>
        <w:spacing w:lineRule="auto" w:line="240" w:before="0" w:after="0"/>
        <w:jc w:val="both"/>
        <w:rPr>
          <w:rStyle w:val="Enfasiforte"/>
          <w:b w:val="false"/>
          <w:bCs w:val="false"/>
          <w:sz w:val="24"/>
          <w:szCs w:val="24"/>
          <w:shd w:fill="FFFFFF" w:val="clear"/>
        </w:rPr>
      </w:pPr>
      <w:r>
        <w:rPr>
          <w:rStyle w:val="Carpredefinitoparagrafo"/>
          <w:rFonts w:eastAsia="SimSun;宋体" w:cs="Mangal"/>
          <w:b w:val="false"/>
          <w:bCs w:val="false"/>
          <w:caps/>
          <w:sz w:val="24"/>
          <w:szCs w:val="24"/>
          <w:shd w:fill="FFFFFF" w:val="clear"/>
          <w:lang w:bidi="hi-IN"/>
        </w:rPr>
        <w:t xml:space="preserve">CIG: </w:t>
      </w:r>
      <w:r>
        <w:rPr>
          <w:rStyle w:val="Enfasiforte"/>
          <w:b w:val="false"/>
          <w:bCs w:val="false"/>
          <w:sz w:val="24"/>
          <w:szCs w:val="24"/>
          <w:shd w:fill="FFFFFF" w:val="clear"/>
        </w:rPr>
        <w:t>8232578A46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color w:val="000000"/>
          <w:sz w:val="24"/>
          <w:szCs w:val="24"/>
          <w:shd w:fill="FFFFFF" w:val="clear"/>
        </w:rPr>
      </w:pPr>
      <w:r>
        <w:rPr>
          <w:rStyle w:val="Carpredefinitoparagrafo"/>
          <w:rFonts w:eastAsia="SimSun;宋体" w:cs="Mangal"/>
          <w:b w:val="false"/>
          <w:bCs w:val="false"/>
          <w:caps/>
          <w:color w:val="000000"/>
          <w:sz w:val="24"/>
          <w:szCs w:val="24"/>
          <w:shd w:fill="FFFFFF" w:val="clear"/>
          <w:lang w:bidi="hi-IN"/>
        </w:rPr>
        <w:t>CUP:</w:t>
      </w:r>
      <w:r>
        <w:rPr>
          <w:b w:val="false"/>
          <w:bCs w:val="false"/>
          <w:color w:val="000000"/>
          <w:sz w:val="24"/>
          <w:szCs w:val="24"/>
          <w:shd w:fill="FFFFFF" w:val="clear"/>
        </w:rPr>
        <w:t xml:space="preserve"> I61B18000290004</w:t>
      </w:r>
    </w:p>
    <w:p>
      <w:pPr>
        <w:pStyle w:val="Corpodeltesto"/>
        <w:widowControl/>
        <w:spacing w:lineRule="auto" w:line="240" w:before="0" w:after="0"/>
        <w:jc w:val="left"/>
        <w:rPr>
          <w:rStyle w:val="Carpredefinitoparagrafo"/>
          <w:b w:val="false"/>
          <w:bCs w:val="false"/>
          <w:sz w:val="24"/>
          <w:szCs w:val="24"/>
          <w:u w:val="none"/>
          <w:shd w:fill="FFFFFF" w:val="clear"/>
          <w:lang w:eastAsia="it-IT" w:bidi="hi-IN"/>
        </w:rPr>
      </w:pPr>
      <w:r>
        <w:rPr>
          <w:rStyle w:val="Carpredefinitoparagrafo"/>
          <w:rFonts w:eastAsia="SimSun;宋体" w:cs="Mangal"/>
          <w:b w:val="false"/>
          <w:bCs w:val="false"/>
          <w:caps/>
          <w:sz w:val="24"/>
          <w:szCs w:val="24"/>
          <w:u w:val="none"/>
          <w:shd w:fill="FFFFFF" w:val="clear"/>
          <w:lang w:eastAsia="it-IT" w:bidi="hi-IN"/>
        </w:rPr>
        <w:t xml:space="preserve">CPV: 45233162-2 </w:t>
      </w:r>
      <w:r>
        <w:rPr>
          <w:rStyle w:val="Carpredefinitoparagrafo"/>
          <w:b w:val="false"/>
          <w:bCs w:val="false"/>
          <w:sz w:val="24"/>
          <w:szCs w:val="24"/>
          <w:u w:val="none"/>
          <w:shd w:fill="FFFFFF" w:val="clear"/>
          <w:lang w:eastAsia="it-IT" w:bidi="hi-IN"/>
        </w:rPr>
        <w:t>Lavori di costruzioni di pista ciclabile</w:t>
      </w:r>
    </w:p>
    <w:p>
      <w:pPr>
        <w:pStyle w:val="Normal"/>
        <w:spacing w:lineRule="atLeast" w:line="283"/>
        <w:rPr>
          <w:rFonts w:eastAsia="Arial Unicode MS" w:cs="Tahoma"/>
          <w:sz w:val="21"/>
          <w:szCs w:val="21"/>
        </w:rPr>
      </w:pPr>
      <w:bookmarkStart w:id="0" w:name="OLE_LINK2"/>
      <w:bookmarkStart w:id="1" w:name="OLE_LINK21"/>
      <w:bookmarkStart w:id="2" w:name="OLE_LINK2"/>
      <w:bookmarkStart w:id="3" w:name="OLE_LINK21"/>
      <w:bookmarkEnd w:id="2"/>
      <w:bookmarkEnd w:id="3"/>
      <w:r>
        <w:rPr>
          <w:rFonts w:eastAsia="Arial Unicode MS" w:cs="Tahoma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tLeast" w:line="283"/>
        <w:ind w:left="0" w:right="0" w:hanging="0"/>
        <w:jc w:val="both"/>
        <w:textAlignment w:val="baseline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indicate;</w:t>
      </w:r>
    </w:p>
    <w:p>
      <w:pPr>
        <w:pStyle w:val="Normal"/>
        <w:widowControl/>
        <w:spacing w:lineRule="atLeast" w:line="283"/>
        <w:ind w:left="360" w:right="0" w:hanging="0"/>
        <w:jc w:val="both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</w:r>
    </w:p>
    <w:p>
      <w:pPr>
        <w:pStyle w:val="Normal"/>
        <w:widowControl/>
        <w:spacing w:lineRule="atLeast" w:line="283"/>
        <w:jc w:val="both"/>
        <w:rPr>
          <w:rFonts w:cs="Tahoma"/>
          <w:sz w:val="21"/>
          <w:szCs w:val="21"/>
          <w:lang w:eastAsia="it-IT"/>
        </w:rPr>
      </w:pPr>
      <w:bookmarkStart w:id="4" w:name="OLE_LINK261"/>
      <w:bookmarkEnd w:id="4"/>
      <w:r>
        <w:rPr>
          <w:rFonts w:cs="Tahoma"/>
          <w:sz w:val="21"/>
          <w:szCs w:val="21"/>
          <w:lang w:eastAsia="it-IT"/>
        </w:rPr>
        <w:t>Il/La sottoscritto/a_______________________ nat__ a___________________________ il_________ Prov. ___ C.F._______________________________________residente in Comune di_________________ Prov. ___ Via_______________________________, n_____ in qualità di__________________________________________ della ditta ____________________________________________________________________________________ Tel___________/________________ E-mail________________________ PEC____________________________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  <w:t>IN QUALITA’ DI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  <w:t>AUSILIARIA del concorrente________________________________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u w:val="single"/>
          <w:lang w:val="it-IT"/>
        </w:rPr>
      </w:pPr>
      <w:r>
        <w:rPr>
          <w:rFonts w:cs="Tahoma"/>
          <w:sz w:val="21"/>
          <w:szCs w:val="21"/>
          <w:u w:val="single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  <w:t xml:space="preserve">DICHIARA 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u w:val="single"/>
          <w:lang w:val="it-IT"/>
        </w:rPr>
      </w:pPr>
      <w:r>
        <w:rPr>
          <w:rFonts w:cs="Tahoma"/>
          <w:sz w:val="21"/>
          <w:szCs w:val="21"/>
          <w:u w:val="single"/>
          <w:lang w:val="it-IT"/>
        </w:rPr>
      </w:r>
    </w:p>
    <w:p>
      <w:pPr>
        <w:pStyle w:val="Sche3"/>
        <w:spacing w:lineRule="atLeast" w:line="283"/>
        <w:jc w:val="center"/>
        <w:rPr>
          <w:rFonts w:cs="Tahoma"/>
          <w:sz w:val="21"/>
          <w:szCs w:val="21"/>
          <w:u w:val="single"/>
          <w:lang w:val="it-IT"/>
        </w:rPr>
      </w:pPr>
      <w:r>
        <w:rPr>
          <w:rFonts w:cs="Tahoma"/>
          <w:sz w:val="21"/>
          <w:szCs w:val="21"/>
          <w:u w:val="single"/>
          <w:lang w:val="it-IT"/>
        </w:rPr>
        <w:t>(barrare le caselle che corrispondono al vero e completare)</w:t>
      </w:r>
    </w:p>
    <w:p>
      <w:pPr>
        <w:pStyle w:val="Sche3"/>
        <w:spacing w:lineRule="atLeast" w:line="283"/>
        <w:jc w:val="center"/>
        <w:rPr>
          <w:rFonts w:cs="Tahoma"/>
          <w:i/>
          <w:sz w:val="21"/>
          <w:szCs w:val="21"/>
          <w:lang w:val="it-IT"/>
        </w:rPr>
      </w:pPr>
      <w:r>
        <w:rPr>
          <w:rFonts w:cs="Tahoma"/>
          <w:i/>
          <w:sz w:val="21"/>
          <w:szCs w:val="21"/>
          <w:lang w:val="it-IT"/>
        </w:rPr>
      </w:r>
    </w:p>
    <w:p>
      <w:pPr>
        <w:pStyle w:val="Sche3"/>
        <w:spacing w:lineRule="atLeast" w:line="283"/>
        <w:jc w:val="center"/>
        <w:rPr>
          <w:rFonts w:cs="Tahoma"/>
          <w:i/>
          <w:sz w:val="21"/>
          <w:szCs w:val="21"/>
          <w:lang w:val="it-IT"/>
        </w:rPr>
      </w:pPr>
      <w:r>
        <w:rPr>
          <w:rFonts w:cs="Tahoma"/>
          <w:i/>
          <w:sz w:val="21"/>
          <w:szCs w:val="21"/>
          <w:lang w:val="it-IT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Tahoma"/>
          <w:b/>
          <w:bCs/>
          <w:color w:val="000000"/>
          <w:sz w:val="21"/>
          <w:szCs w:val="21"/>
          <w:u w:val="single"/>
        </w:rPr>
      </w:pPr>
      <w:r>
        <w:rPr>
          <w:rFonts w:eastAsia="Tahoma" w:cs="Tahoma"/>
          <w:b/>
          <w:sz w:val="21"/>
          <w:szCs w:val="21"/>
        </w:rPr>
        <w:t xml:space="preserve">PARTE III DEL DGUE – Motivi di esclusione </w:t>
      </w:r>
      <w:r>
        <w:rPr>
          <w:rFonts w:eastAsia="Tahoma" w:cs="Tahoma"/>
          <w:b w:val="false"/>
          <w:bCs w:val="false"/>
          <w:sz w:val="21"/>
          <w:szCs w:val="21"/>
        </w:rPr>
        <w:t xml:space="preserve">(Art. 80 del D. Lgs. 50/2016 </w:t>
      </w:r>
      <w:r>
        <w:rPr>
          <w:rFonts w:eastAsia="Tahoma" w:cs="Tahoma"/>
          <w:b w:val="false"/>
          <w:bCs w:val="false"/>
          <w:color w:val="000000"/>
          <w:sz w:val="21"/>
          <w:szCs w:val="21"/>
        </w:rPr>
        <w:t>dichiara di non incorrere in alcuna delle cause di esclusione di cui all’art. 80 comma 5 – lett. c-bis), c-ter, f-bis e f- ter del D.Lgs. 50/2016 (di seguito Codice)</w:t>
      </w:r>
      <w:r>
        <w:rPr>
          <w:rFonts w:eastAsia="Tahoma" w:cs="Tahoma"/>
          <w:b/>
          <w:bCs/>
          <w:color w:val="000000"/>
          <w:sz w:val="21"/>
          <w:szCs w:val="21"/>
          <w:u w:val="single"/>
        </w:rPr>
        <w:t>.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Tahoma"/>
          <w:b/>
          <w:sz w:val="21"/>
          <w:szCs w:val="21"/>
        </w:rPr>
      </w:pPr>
      <w:r>
        <w:rPr>
          <w:rFonts w:eastAsia="Tahoma" w:cs="Tahoma"/>
          <w:b/>
          <w:sz w:val="21"/>
          <w:szCs w:val="21"/>
        </w:rPr>
        <w:t xml:space="preserve">- </w:t>
        <w:tab/>
        <w:t>Motivi legati a condanne penali: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1189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283" w:right="0" w:hanging="227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1) I soggetti di cui all’art. 80, comma 3, del Codice</w:t>
      </w:r>
      <w:r>
        <w:rPr>
          <w:rStyle w:val="Richiamoallanotaapidipagina"/>
          <w:rFonts w:eastAsia="Tahoma" w:cs="Tahoma"/>
          <w:sz w:val="21"/>
          <w:szCs w:val="21"/>
        </w:rPr>
        <w:footnoteReference w:id="2"/>
      </w:r>
      <w:r>
        <w:rPr>
          <w:rFonts w:eastAsia="Tahoma" w:cs="Tahoma"/>
          <w:sz w:val="21"/>
          <w:szCs w:val="21"/>
        </w:rPr>
        <w:t>,</w:t>
      </w:r>
      <w:r>
        <w:rPr>
          <w:sz w:val="21"/>
          <w:szCs w:val="21"/>
          <w:vertAlign w:val="superscript"/>
        </w:rPr>
        <w:t xml:space="preserve"> </w:t>
      </w:r>
      <w:r>
        <w:rPr>
          <w:rFonts w:eastAsia="Tahoma" w:cs="Tahoma"/>
          <w:sz w:val="21"/>
          <w:szCs w:val="21"/>
        </w:rPr>
        <w:t>sono i seguenti (</w:t>
      </w:r>
      <w:r>
        <w:rPr>
          <w:rFonts w:eastAsia="Tahoma" w:cs="Tahoma"/>
          <w:i/>
          <w:sz w:val="21"/>
          <w:szCs w:val="21"/>
        </w:rPr>
        <w:t>indicare anche i soggetti cessati dalla carica nell’anno antecedente la data di pubblicazione del bando e disciplinare di gara specificando la data cessazione e carica ricoperta fino alla cessazione</w:t>
      </w:r>
      <w:r>
        <w:rPr>
          <w:rFonts w:eastAsia="Tahoma" w:cs="Tahoma"/>
          <w:sz w:val="21"/>
          <w:szCs w:val="21"/>
        </w:rPr>
        <w:t>):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227"/>
        <w:jc w:val="both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283"/>
        <w:ind w:left="1361" w:right="0" w:hanging="0"/>
        <w:jc w:val="left"/>
        <w:textAlignment w:val="baseline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1361" w:right="0" w:hanging="0"/>
        <w:jc w:val="left"/>
        <w:textAlignment w:val="baseline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227" w:right="0" w:hanging="227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2) I soggetti di cui all’art. 80, comma 3, del Codice</w:t>
      </w:r>
      <w:r>
        <w:rPr>
          <w:rStyle w:val="Richiamoallanotaapidipagina"/>
          <w:rFonts w:eastAsia="Tahoma" w:cs="Tahoma"/>
          <w:sz w:val="21"/>
          <w:szCs w:val="21"/>
        </w:rPr>
        <w:footnoteReference w:customMarkFollows="1" w:id="3"/>
        <w:t>1</w:t>
      </w:r>
      <w:r>
        <w:rPr>
          <w:rFonts w:eastAsia="Tahoma" w:cs="Tahoma"/>
          <w:sz w:val="21"/>
          <w:szCs w:val="21"/>
        </w:rPr>
        <w:t>,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227" w:right="0" w:hanging="0"/>
        <w:jc w:val="both"/>
        <w:textAlignment w:val="baseline"/>
        <w:rPr>
          <w:rFonts w:eastAsia="Tahoma" w:cs="Calibri Light"/>
          <w:sz w:val="21"/>
          <w:szCs w:val="21"/>
        </w:rPr>
      </w:pPr>
      <w:r>
        <w:rPr>
          <w:rFonts w:eastAsia="Tahoma" w:cs="Tahoma"/>
          <w:sz w:val="21"/>
          <w:szCs w:val="21"/>
        </w:rPr>
        <w:t>- False comunicazioni sociali di cui agli articoli 2621 e 2622 del codice civile (Art. 80, comma 1, let. b-bis) del Codice:</w:t>
      </w:r>
      <w:r>
        <w:rPr>
          <w:rFonts w:eastAsia="Tahoma" w:cs="Calibri Light"/>
          <w:sz w:val="21"/>
          <w:szCs w:val="21"/>
        </w:rPr>
        <w:t xml:space="preserve">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283" w:right="0" w:hanging="0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In caso di risposta affermativa, indicare: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la data della condanna, del decreto penale di condanna o della sentenza di applicazione della pena su richiesta, la relativa durata e il reato commesso: ______________________________________________________________________;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left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i dati identificativi delle persone condannate:  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sz w:val="21"/>
          <w:szCs w:val="21"/>
        </w:rPr>
      </w:pPr>
      <w:r>
        <w:rPr>
          <w:rFonts w:eastAsia="Tahoma" w:cs="Tahoma"/>
          <w:sz w:val="21"/>
          <w:szCs w:val="21"/>
        </w:rPr>
        <w:t>se stabilita direttamente nella sentenza di condanna, la durata della pena accessoria: durata del periodo di esclusione_____________________________________________</w:t>
      </w:r>
      <w:r>
        <w:rPr>
          <w:sz w:val="21"/>
          <w:szCs w:val="21"/>
        </w:rPr>
        <w:t>___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397" w:right="0" w:hanging="227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3) I soggetti di cui all’art. 80, comma </w:t>
      </w:r>
      <w:r>
        <w:rPr>
          <w:rFonts w:eastAsia="Tahoma" w:cs="Tahoma"/>
          <w:sz w:val="22"/>
          <w:szCs w:val="22"/>
        </w:rPr>
        <w:t>3</w:t>
      </w:r>
      <w:r>
        <w:rPr>
          <w:sz w:val="22"/>
          <w:szCs w:val="22"/>
          <w:vertAlign w:val="superscript"/>
        </w:rPr>
        <w:t>1</w:t>
      </w:r>
      <w:r>
        <w:rPr>
          <w:rFonts w:eastAsia="Tahoma" w:cs="Calibri Light"/>
          <w:sz w:val="22"/>
          <w:szCs w:val="22"/>
        </w:rPr>
        <w:t>, del Codice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Tahoma"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>- Ogni altro delitto da cui derivi, quale pena accessoria, l’incapacità di contrattare con la pubblica amministrazione (Art. 80, comma 1, lett. g) del Codice:</w:t>
      </w:r>
      <w:bookmarkStart w:id="5" w:name="__DdeLink__43111_91320773"/>
      <w:r>
        <w:rPr>
          <w:rFonts w:eastAsia="Tahoma" w:cs="Tahoma"/>
          <w:sz w:val="22"/>
          <w:szCs w:val="22"/>
        </w:rPr>
        <w:t xml:space="preserve">     </w:t>
      </w:r>
      <w:bookmarkEnd w:id="5"/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463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la data della condanna, del decreto penale di condanna o della sentenza di applicazione della pena su richiesta, la relativa durata e il reato commesso: </w:t>
      </w:r>
      <w:bookmarkStart w:id="6" w:name="_Hlk529259444"/>
      <w:r>
        <w:rPr>
          <w:rFonts w:eastAsia="Tahoma" w:cs="Calibri Light"/>
          <w:sz w:val="22"/>
          <w:szCs w:val="22"/>
        </w:rPr>
        <w:t>______________ _________________________________________________________________________</w:t>
      </w:r>
      <w:bookmarkEnd w:id="6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488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i dati identificativi delle persone condannate: </w:t>
      </w:r>
      <w:bookmarkStart w:id="7" w:name="_Hlk529259454"/>
      <w:r>
        <w:rPr>
          <w:rFonts w:eastAsia="Tahoma" w:cs="Calibri Light"/>
          <w:sz w:val="22"/>
          <w:szCs w:val="22"/>
        </w:rPr>
        <w:t>______________________________ _____________________________________________________________________________________________________________________________________________________________________________________________________________________________</w:t>
      </w:r>
      <w:bookmarkEnd w:id="7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50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se stabilita direttamente nella sentenza di condanna, la durata della pena accessoria: durata del periodo di esclusione </w:t>
      </w:r>
      <w:bookmarkStart w:id="8" w:name="_Hlk529259518"/>
      <w:r>
        <w:rPr>
          <w:rFonts w:eastAsia="Tahoma" w:cs="Calibri Light"/>
          <w:sz w:val="22"/>
          <w:szCs w:val="22"/>
        </w:rPr>
        <w:t>_______________________________________________</w:t>
      </w:r>
      <w:bookmarkEnd w:id="8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113" w:right="0" w:hanging="0"/>
        <w:jc w:val="both"/>
        <w:textAlignment w:val="baseline"/>
        <w:rPr>
          <w:rFonts w:eastAsia="Tahoma" w:cs="Calibri Light"/>
          <w:b/>
          <w:sz w:val="21"/>
          <w:szCs w:val="21"/>
        </w:rPr>
      </w:pPr>
      <w:r>
        <w:rPr>
          <w:rFonts w:eastAsia="Tahoma" w:cs="Cambria"/>
          <w:b/>
          <w:sz w:val="21"/>
          <w:szCs w:val="21"/>
        </w:rPr>
        <w:t xml:space="preserve">- </w:t>
      </w:r>
      <w:r>
        <w:rPr>
          <w:rFonts w:eastAsia="Tahoma" w:cs="Calibri Light"/>
          <w:b/>
          <w:sz w:val="21"/>
          <w:szCs w:val="21"/>
        </w:rPr>
        <w:t xml:space="preserve">Motivi di esclusione previsti esclusivamente dalla legislazione nazionale </w:t>
      </w:r>
      <w:r>
        <w:rPr>
          <w:rFonts w:eastAsia="Tahoma" w:cs="Calibri Light"/>
          <w:b w:val="false"/>
          <w:bCs w:val="false"/>
          <w:sz w:val="21"/>
          <w:szCs w:val="21"/>
        </w:rPr>
        <w:t>(art. 80 comma 2 e comma 5, lett. b), c), c-bis), c-ter), c-quater), lett. f), f-bis), f-ter), g), h), i), l), m), del D. Lgs. 50/2016</w:t>
      </w:r>
      <w:r>
        <w:rPr>
          <w:rFonts w:eastAsia="Tahoma" w:cs="Calibri Light"/>
          <w:b/>
          <w:sz w:val="21"/>
          <w:szCs w:val="21"/>
        </w:rPr>
        <w:t>: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>Sussistono a carico dei soggetti indicati al comma 3 dell'art. 80 del Codice</w:t>
      </w:r>
      <w:r>
        <w:rPr>
          <w:rStyle w:val="Richiamoallanotaapidipagina"/>
          <w:rFonts w:eastAsia="Tahoma" w:cs="Cambria"/>
          <w:strike w:val="false"/>
          <w:dstrike w:val="false"/>
          <w:sz w:val="21"/>
          <w:szCs w:val="21"/>
        </w:rPr>
        <w:footnoteReference w:customMarkFollows="1" w:id="4"/>
        <w:t>1</w:t>
      </w:r>
      <w:r>
        <w:rPr>
          <w:rFonts w:eastAsia="Tahoma" w:cs="Cambria"/>
          <w:strike w:val="false"/>
          <w:dstrike w:val="false"/>
          <w:sz w:val="21"/>
          <w:szCs w:val="21"/>
        </w:rPr>
        <w:t>, 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80, comma 2, del Codic</w:t>
      </w:r>
      <w:bookmarkStart w:id="9" w:name="__DdeLink__1087_11827130143"/>
      <w:bookmarkEnd w:id="9"/>
      <w:r>
        <w:rPr>
          <w:rFonts w:eastAsia="Tahoma" w:cs="Cambria"/>
          <w:strike w:val="false"/>
          <w:dstrike w:val="false"/>
          <w:sz w:val="21"/>
          <w:szCs w:val="21"/>
        </w:rPr>
        <w:t>e)?</w:t>
      </w:r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737" w:right="0" w:hanging="0"/>
        <w:jc w:val="both"/>
        <w:rPr>
          <w:rFonts w:eastAsia="Tahoma" w:cs="Calibri Light"/>
          <w:sz w:val="21"/>
          <w:szCs w:val="21"/>
        </w:rPr>
      </w:pPr>
      <w:r>
        <w:rPr>
          <w:rFonts w:eastAsia="Tahoma" w:cs="Calibri Light"/>
          <w:sz w:val="21"/>
          <w:szCs w:val="21"/>
        </w:rPr>
        <w:t>L’operatore economico si trova in una delle seguenti situazioni?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rPr>
          <w:rFonts w:cs="Calibri Light"/>
          <w:sz w:val="21"/>
          <w:szCs w:val="21"/>
        </w:rPr>
      </w:pPr>
      <w:r>
        <w:rPr>
          <w:rFonts w:cs="Calibri Light"/>
          <w:sz w:val="21"/>
          <w:szCs w:val="21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rPr>
          <w:rFonts w:cs="Calibri Light"/>
          <w:sz w:val="21"/>
          <w:szCs w:val="21"/>
        </w:rPr>
      </w:pPr>
      <w:r>
        <w:rPr>
          <w:rFonts w:cs="Calibri Light"/>
          <w:sz w:val="21"/>
          <w:szCs w:val="21"/>
        </w:rPr>
      </w:r>
    </w:p>
    <w:p>
      <w:pPr>
        <w:pStyle w:val="Normale1"/>
        <w:widowControl/>
        <w:numPr>
          <w:ilvl w:val="0"/>
          <w:numId w:val="2"/>
        </w:numPr>
        <w:tabs>
          <w:tab w:val="left" w:pos="621" w:leader="none"/>
          <w:tab w:val="left" w:pos="2580" w:leader="none"/>
        </w:tabs>
        <w:suppressAutoHyphens w:val="true"/>
        <w:bidi w:val="0"/>
        <w:spacing w:lineRule="atLeast" w:line="283"/>
        <w:ind w:left="777" w:right="0" w:hanging="360"/>
        <w:jc w:val="both"/>
        <w:textAlignment w:val="baseline"/>
        <w:rPr>
          <w:rFonts w:eastAsia="Tahoma" w:cs="Tahoma"/>
          <w:strike w:val="false"/>
          <w:dstrike w:val="false"/>
          <w:color w:val="000000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L'operatore economico è sottoposto a fallimento o si trovi in stato di liquidazione coatta o di concordato preventivo o sia in corso nei suoi confronti un procedimento per la dichiarazione di una di tali situazioni, fermo restando quanto previsto dagli articoli 110 e 186-bis del regio decreto 16 marzo 1942, n. 267 </w:t>
      </w:r>
      <w:r>
        <w:rPr>
          <w:rFonts w:eastAsia="Tahoma" w:cs="Calibri Light"/>
          <w:strike w:val="false"/>
          <w:dstrike w:val="false"/>
          <w:sz w:val="21"/>
          <w:szCs w:val="21"/>
        </w:rPr>
        <w:t>(Art. 80, comma 5, lett. b)</w:t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? </w:t>
      </w:r>
      <w:r>
        <w:rPr>
          <w:rFonts w:eastAsia="Tahoma" w:cs="Calibri Light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Tahoma"/>
          <w:strike w:val="false"/>
          <w:dstrike w:val="false"/>
          <w:sz w:val="21"/>
          <w:szCs w:val="21"/>
        </w:rPr>
        <w:t xml:space="preserve">     </w:t>
      </w:r>
      <w:r>
        <w:rPr>
          <w:rFonts w:eastAsia="Tahoma" w:cs="Tahoma"/>
          <w:strike w:val="false"/>
          <w:dstrike w:val="false"/>
          <w:color w:val="000000"/>
          <w:sz w:val="21"/>
          <w:szCs w:val="21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  <w:t xml:space="preserve">L’operatore economico si è reso colpevole di gravi illeciti professionali, tali da rendere dubbia la sua integrità o affidabilità </w:t>
      </w:r>
      <w:r>
        <w:rPr>
          <w:rFonts w:eastAsia="Tahoma" w:cs="Calibri Light"/>
          <w:strike w:val="false"/>
          <w:dstrike w:val="false"/>
          <w:sz w:val="21"/>
          <w:szCs w:val="21"/>
        </w:rPr>
        <w:t>(Art. 80, comma 5, lett. c)</w:t>
      </w:r>
      <w:r>
        <w:rPr>
          <w:rFonts w:cs="Calibri Light"/>
          <w:strike w:val="false"/>
          <w:dstrike w:val="false"/>
          <w:sz w:val="21"/>
          <w:szCs w:val="21"/>
        </w:rPr>
        <w:t>? 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z w:val="21"/>
          <w:szCs w:val="21"/>
        </w:rPr>
      </w:pPr>
      <w:r>
        <w:rPr>
          <w:rFonts w:cs="Calibri Light"/>
          <w:sz w:val="21"/>
          <w:szCs w:val="21"/>
        </w:rPr>
        <w:t xml:space="preserve">L’operatore economico </w:t>
      </w:r>
      <w:r>
        <w:rPr>
          <w:rFonts w:cs="Calibri Light"/>
          <w:bCs/>
          <w:sz w:val="21"/>
          <w:szCs w:val="21"/>
        </w:rPr>
        <w:t>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</w:t>
      </w:r>
      <w:r>
        <w:rPr>
          <w:rFonts w:cs="Calibri Light"/>
          <w:sz w:val="21"/>
          <w:szCs w:val="21"/>
        </w:rPr>
        <w:t xml:space="preserve"> </w:t>
      </w:r>
      <w:r>
        <w:rPr>
          <w:rFonts w:eastAsia="Tahoma" w:cs="Calibri Light"/>
          <w:sz w:val="21"/>
          <w:szCs w:val="21"/>
        </w:rPr>
        <w:t>(Art. 80, comma 5, lett. c-bis)</w:t>
      </w:r>
      <w:r>
        <w:rPr>
          <w:rFonts w:cs="Calibri Light"/>
          <w:sz w:val="21"/>
          <w:szCs w:val="21"/>
        </w:rPr>
        <w:t>?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276" w:right="0" w:hanging="0"/>
        <w:jc w:val="left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276" w:right="0" w:hanging="0"/>
        <w:jc w:val="left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  <w:t xml:space="preserve">L’operatore economico </w:t>
      </w:r>
      <w:r>
        <w:rPr>
          <w:rFonts w:cs="Calibri Light"/>
          <w:bCs/>
          <w:strike w:val="false"/>
          <w:dstrike w:val="false"/>
          <w:sz w:val="21"/>
          <w:szCs w:val="21"/>
        </w:rPr>
        <w:t>ha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cs="Calibri Light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libri Light"/>
          <w:strike w:val="false"/>
          <w:dstrike w:val="false"/>
          <w:sz w:val="21"/>
          <w:szCs w:val="21"/>
        </w:rPr>
        <w:t>(Art. 80, comma 5, lett. C-ter)</w:t>
      </w:r>
      <w:r>
        <w:rPr>
          <w:rFonts w:cs="Calibri Light"/>
          <w:strike w:val="false"/>
          <w:dstrike w:val="false"/>
          <w:sz w:val="21"/>
          <w:szCs w:val="21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libri Light"/>
          <w:strike w:val="false"/>
          <w:dstrike w:val="false"/>
          <w:sz w:val="21"/>
          <w:szCs w:val="21"/>
        </w:rPr>
      </w:pPr>
      <w:r>
        <w:rPr>
          <w:rFonts w:eastAsia="Tahoma" w:cs="Calibri Light"/>
          <w:strike w:val="false"/>
          <w:dstrike w:val="false"/>
          <w:sz w:val="21"/>
          <w:szCs w:val="21"/>
        </w:rPr>
        <w:t xml:space="preserve">     </w:t>
      </w:r>
      <w:r>
        <w:rPr>
          <w:rFonts w:eastAsia="Tahoma" w:cs="Calibri Light"/>
          <w:strike w:val="false"/>
          <w:dstrike w:val="false"/>
          <w:sz w:val="21"/>
          <w:szCs w:val="21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283"/>
        <w:jc w:val="both"/>
        <w:rPr>
          <w:rFonts w:eastAsia="Tahoma" w:cs="Tahoma"/>
          <w:color w:val="000000"/>
          <w:sz w:val="21"/>
          <w:szCs w:val="21"/>
        </w:rPr>
      </w:pPr>
      <w:r>
        <w:rPr>
          <w:rFonts w:cs="Calibri Light"/>
          <w:sz w:val="21"/>
          <w:szCs w:val="21"/>
        </w:rPr>
        <w:t xml:space="preserve">L’operatore economico </w:t>
      </w:r>
      <w:r>
        <w:rPr>
          <w:rFonts w:cs="Calibri Light"/>
          <w:bCs/>
          <w:sz w:val="21"/>
          <w:szCs w:val="21"/>
        </w:rPr>
        <w:t>ha commesso grave inadempimento nei confronti di uno o più subappaltatori, riconosciuto o accertato con sentenza passata in giudicato</w:t>
      </w:r>
      <w:r>
        <w:rPr>
          <w:rFonts w:cs="Calibri Light"/>
          <w:sz w:val="21"/>
          <w:szCs w:val="21"/>
        </w:rPr>
        <w:t xml:space="preserve"> </w:t>
      </w:r>
      <w:r>
        <w:rPr>
          <w:rFonts w:eastAsia="Tahoma" w:cs="Calibri Light"/>
          <w:sz w:val="21"/>
          <w:szCs w:val="21"/>
        </w:rPr>
        <w:t>(Art. 80, comma 5, lett. c-quater)</w:t>
      </w:r>
      <w:r>
        <w:rPr>
          <w:rFonts w:cs="Calibri Light"/>
          <w:sz w:val="21"/>
          <w:szCs w:val="21"/>
        </w:rPr>
        <w:t xml:space="preserve">?   </w:t>
      </w:r>
      <w:r>
        <w:rPr>
          <w:rFonts w:eastAsia="Tahoma" w:cs="Tahoma"/>
          <w:color w:val="000000"/>
          <w:sz w:val="21"/>
          <w:szCs w:val="21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720" w:right="0" w:hanging="0"/>
        <w:jc w:val="both"/>
        <w:rPr>
          <w:rFonts w:eastAsia="Tahoma" w:cs="Calibri Light"/>
          <w:strike w:val="false"/>
          <w:dstrike w:val="false"/>
          <w:sz w:val="21"/>
          <w:szCs w:val="21"/>
        </w:rPr>
      </w:pPr>
      <w:r>
        <w:rPr>
          <w:rFonts w:eastAsia="Tahoma" w:cs="Calibri Light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>E’ stato soggetto alla sanzione interdittiva di cui all'</w:t>
      </w:r>
      <w:r>
        <w:fldChar w:fldCharType="begin"/>
      </w:r>
      <w:r>
        <w:instrText> HYPERLINK "http://www.bosettiegatti.eu/info/norme/statali/2001_0231.htm" \l "09"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articolo 9, comma 2, lettera c) del decreto legislativo 8 giugno 2001, n. 231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o ad altra sanzione che comporta il divieto di contrarre con la pubblica amministrazione, compresi i provvedimenti interdittivi di cui all'</w:t>
      </w:r>
      <w:r>
        <w:fldChar w:fldCharType="begin"/>
      </w:r>
      <w:r>
        <w:instrText> HYPERLINK "http://www.bosettiegatti.eu/info/norme/statali/2008_0081.htm" \l "014"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articolo 14 del decreto legislativo 9 aprile 2008, n. 81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(Articolo 80, comma 5, lettera </w:t>
      </w:r>
      <w:r>
        <w:rPr>
          <w:rFonts w:eastAsia="Tahoma" w:cs="Cambria"/>
          <w:i/>
          <w:strike w:val="false"/>
          <w:dstrike w:val="false"/>
          <w:sz w:val="21"/>
          <w:szCs w:val="21"/>
        </w:rPr>
        <w:t>f)</w:t>
      </w:r>
      <w:r>
        <w:rPr>
          <w:rFonts w:eastAsia="Tahoma" w:cs="Cambria"/>
          <w:strike w:val="false"/>
          <w:dstrike w:val="false"/>
          <w:sz w:val="21"/>
          <w:szCs w:val="21"/>
        </w:rPr>
        <w:t>?:</w:t>
      </w:r>
      <w:bookmarkStart w:id="10" w:name="__DdeLink__1087_11827130142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0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Ha presentato nella procedura di gara in corso o negli affidamenti di subappalti documentazione o dichiarazioni non veritiere (Art. 80, comma 5, lettera f-bis)?:</w:t>
      </w:r>
      <w:r>
        <w:rPr>
          <w:rFonts w:cs="Cambria"/>
          <w:strike w:val="false"/>
          <w:dstrike w:val="false"/>
          <w:sz w:val="21"/>
          <w:szCs w:val="21"/>
        </w:rPr>
        <w:t xml:space="preserve">     [   ]Sì     [   ]No</w:t>
      </w:r>
    </w:p>
    <w:p>
      <w:pPr>
        <w:pStyle w:val="Notaapidipagina"/>
        <w:widowControl w:val="false"/>
        <w:suppressLineNumbers/>
        <w:tabs>
          <w:tab w:val="left" w:pos="0" w:leader="none"/>
        </w:tabs>
        <w:suppressAutoHyphens w:val="true"/>
        <w:bidi w:val="0"/>
        <w:spacing w:lineRule="atLeast" w:line="283"/>
        <w:ind w:left="0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taapidipagina"/>
        <w:widowControl w:val="false"/>
        <w:suppressLineNumbers/>
        <w:tabs>
          <w:tab w:val="left" w:pos="0" w:leader="none"/>
        </w:tabs>
        <w:suppressAutoHyphens w:val="true"/>
        <w:bidi w:val="0"/>
        <w:spacing w:lineRule="atLeast" w:line="283"/>
        <w:ind w:left="0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risulta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lettera f-ter)?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911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risulta iscritto nel casellario informatico tenuto dall'Osservatorio dell'ANAC per aver presentato false dichiarazioni o falsa documentazione ai fini del rilascio dell'attestazione di qualificazione, per il periodo durante il quale perdura l'iscrizione (Art. 80, comma 5, lettera g)?</w:t>
      </w:r>
      <w:bookmarkStart w:id="11" w:name="__DdeLink__1087_11827130141"/>
      <w:bookmarkStart w:id="12" w:name="__DdeLink__1388_320336216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1"/>
      <w:bookmarkEnd w:id="12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10" w:right="0" w:hanging="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In caso di risposta affermativa indicare il periodo per il quale perdura l’iscrizione </w:t>
      </w:r>
      <w:bookmarkStart w:id="13" w:name="_Hlk529259626"/>
      <w:r>
        <w:rPr>
          <w:rFonts w:eastAsia="Tahoma" w:cs="Cambria"/>
          <w:strike w:val="false"/>
          <w:dstrike w:val="false"/>
          <w:sz w:val="21"/>
          <w:szCs w:val="21"/>
        </w:rPr>
        <w:t>_________________________________________</w:t>
      </w:r>
      <w:bookmarkEnd w:id="13"/>
      <w:r>
        <w:rPr>
          <w:rFonts w:eastAsia="Tahoma" w:cs="Cambria"/>
          <w:strike w:val="false"/>
          <w:dstrike w:val="false"/>
          <w:sz w:val="21"/>
          <w:szCs w:val="21"/>
        </w:rPr>
        <w:t>;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ha violato il divieto di intestazione fiduciaria di cui all'</w:t>
      </w:r>
      <w:r>
        <w:fldChar w:fldCharType="begin"/>
      </w:r>
      <w:r>
        <w:instrText> HYPERLINK "http://www.bosettiegatti.eu/info/norme/statali/1990_0055.htm" \l "17"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0"/>
          <w:sz w:val="21"/>
          <w:szCs w:val="21"/>
        </w:rPr>
        <w:t>articolo 17 della legge 19 marzo 1990, n. 55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>. (Art. 80, comma 5, lettera h)?</w:t>
      </w:r>
      <w:bookmarkStart w:id="14" w:name="__DdeLink__1087_118271301411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4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737" w:right="0" w:hanging="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cs="Cambria"/>
          <w:strike w:val="false"/>
          <w:dstrike w:val="false"/>
          <w:sz w:val="21"/>
          <w:szCs w:val="21"/>
        </w:rPr>
        <w:t>In caso di risposta affermativa indicare la data di accertamento _____________________ e se la sanzione è stata rimossa:</w:t>
      </w:r>
      <w:bookmarkStart w:id="15" w:name="__DdeLink__29326_417335292"/>
      <w:bookmarkStart w:id="16" w:name="__DdeLink__1087_1182713014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5"/>
      <w:bookmarkEnd w:id="16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ListParagraph"/>
        <w:spacing w:lineRule="auto" w:line="240"/>
        <w:ind w:left="1428" w:right="0" w:hanging="0"/>
        <w:rPr>
          <w:rFonts w:eastAsia="Tahoma" w:cs="Arial" w:ascii="Arial" w:hAnsi="Arial"/>
          <w:sz w:val="22"/>
          <w:szCs w:val="22"/>
        </w:rPr>
      </w:pPr>
      <w:r>
        <w:rPr>
          <w:rFonts w:eastAsia="Tahoma" w:cs="Arial" w:ascii="Arial" w:hAnsi="Arial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283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si</w:t>
      </w:r>
      <w:r>
        <w:rPr>
          <w:rFonts w:eastAsia="Tahoma" w:cs="Calibri Light"/>
          <w:color w:val="000000"/>
          <w:sz w:val="22"/>
          <w:szCs w:val="22"/>
        </w:rPr>
        <w:t xml:space="preserve"> trova in regola con le norme che disciplinano il diritto al lavoro dei disabili di cui alla legge 12 marzo 1999 n. 68?</w:t>
      </w:r>
      <w:r>
        <w:rPr>
          <w:rFonts w:eastAsia="Tahoma" w:cs="Calibri Light"/>
          <w:sz w:val="22"/>
          <w:szCs w:val="22"/>
        </w:rPr>
        <w:t xml:space="preserve"> (Art. 80, comma 5, lettera i)?</w:t>
      </w:r>
    </w:p>
    <w:p>
      <w:pPr>
        <w:pStyle w:val="ListParagraph"/>
        <w:spacing w:lineRule="auto" w:line="240"/>
        <w:ind w:left="1428" w:right="0" w:hanging="0"/>
        <w:rPr>
          <w:rFonts w:cs="Arial" w:ascii="Times New Roman" w:hAnsi="Times New Roman"/>
          <w:sz w:val="22"/>
        </w:rPr>
      </w:pPr>
      <w:r>
        <w:rPr>
          <w:rFonts w:cs="Arial" w:ascii="Times New Roman" w:hAnsi="Times New Roman"/>
          <w:sz w:val="22"/>
        </w:rPr>
        <w:t>ad integrazione di quanto dichiarato nel DGUE in merito al rispetto della normativa sui disabili di cui alla legge 12 marzo 1999, n. 68:</w:t>
      </w:r>
    </w:p>
    <w:p>
      <w:pPr>
        <w:pStyle w:val="ListParagraph"/>
        <w:spacing w:lineRule="auto" w:line="240"/>
        <w:ind w:left="1428" w:right="0" w:hanging="0"/>
        <w:rPr>
          <w:rFonts w:cs="Arial" w:ascii="Times New Roman" w:hAnsi="Times New Roman"/>
          <w:sz w:val="22"/>
        </w:rPr>
      </w:pPr>
      <w:r>
        <w:rPr>
          <w:rFonts w:cs="Arial" w:ascii="Times New Roman" w:hAnsi="Times New Roman"/>
          <w:sz w:val="22"/>
        </w:rPr>
        <w:t xml:space="preserve">□ </w:t>
      </w:r>
      <w:r>
        <w:rPr>
          <w:rFonts w:cs="Arial" w:ascii="Times New Roman" w:hAnsi="Times New Roman"/>
          <w:sz w:val="22"/>
        </w:rPr>
        <w:t>in quanto tenuto, di essere in regola con le norme che disciplinano il diritto al lavoro dei disabili di cui alla legge 68/1999;</w:t>
      </w:r>
    </w:p>
    <w:p>
      <w:pPr>
        <w:pStyle w:val="ListParagraph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/>
        <w:ind w:left="1428" w:right="0" w:hanging="0"/>
        <w:jc w:val="both"/>
        <w:textAlignment w:val="baseline"/>
        <w:rPr>
          <w:rFonts w:eastAsia="Tahoma" w:cs="Arial" w:ascii="Times New Roman" w:hAnsi="Times New Roman"/>
          <w:sz w:val="22"/>
          <w:szCs w:val="22"/>
        </w:rPr>
      </w:pPr>
      <w:r>
        <w:rPr>
          <w:rFonts w:eastAsia="Tahoma" w:cs="Arial" w:ascii="Times New Roman" w:hAnsi="Times New Roman"/>
          <w:sz w:val="22"/>
          <w:szCs w:val="22"/>
        </w:rPr>
        <w:t xml:space="preserve">□ </w:t>
      </w:r>
      <w:r>
        <w:rPr>
          <w:rFonts w:eastAsia="Tahoma" w:cs="Arial" w:ascii="Times New Roman" w:hAnsi="Times New Roman"/>
          <w:sz w:val="22"/>
          <w:szCs w:val="22"/>
        </w:rPr>
        <w:t>di  non essere tenuto alla disciplina legge 68/1999, in quanto ___________ (indicare la motivazione es numeri dipendenti e/o altro)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83"/>
        <w:ind w:left="737" w:right="0" w:hanging="0"/>
        <w:jc w:val="left"/>
        <w:textAlignment w:val="baseline"/>
        <w:rPr>
          <w:rFonts w:cs="Arial"/>
          <w:lang w:val="it-IT"/>
        </w:rPr>
      </w:pPr>
      <w:r>
        <w:rPr>
          <w:rFonts w:cs="Arial"/>
          <w:lang w:val="it-IT"/>
        </w:rPr>
      </w:r>
    </w:p>
    <w:p>
      <w:pPr>
        <w:pStyle w:val="Normal"/>
        <w:spacing w:lineRule="auto" w:line="360"/>
        <w:ind w:left="840" w:right="0" w:hanging="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(se del caso indicare ) Ufficio della Provincia competente per la certificazione di cui alla legge 68/1999:</w:t>
      </w:r>
    </w:p>
    <w:p>
      <w:pPr>
        <w:pStyle w:val="Normal"/>
        <w:spacing w:lineRule="auto" w:line="360"/>
        <w:ind w:left="840" w:right="0" w:hanging="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>
      <w:pPr>
        <w:pStyle w:val="Normal"/>
        <w:widowControl w:val="false"/>
        <w:tabs>
          <w:tab w:val="left" w:pos="0" w:leader="none"/>
        </w:tabs>
        <w:spacing w:lineRule="auto" w:line="360" w:before="0" w:after="0"/>
        <w:ind w:left="84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L’operatore economico è stato vittima dei reati previsti e puniti dagli </w:t>
      </w:r>
      <w:r>
        <w:fldChar w:fldCharType="begin"/>
      </w:r>
      <w:r>
        <w:instrText> HYPERLINK "http://www.bosettiegatti.eu/info/norme/statali/codicepenale.htm" \l "317"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articoli 317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e </w:t>
      </w:r>
      <w:r>
        <w:fldChar w:fldCharType="begin"/>
      </w:r>
      <w:r>
        <w:instrText> HYPERLINK "http://www.bosettiegatti.eu/info/norme/statali/codicepenale.htm" \l "629"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629 del codice penale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aggravati ai sensi dell'articolo 7 del decreto-legge 13 maggio 1991, n. 152, convertito, con modificazioni, dalla legge 12 luglio 1991, n. 203?  (Art. 80, comma 5, lettera l)?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1247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>In caso di risposta affermativa, ha denunciato i fatti all’autorità giudiziaria?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si trova rispetto ad un altro partecipante alla medesima procedura di affidamento</w:t>
      </w:r>
      <w:r>
        <w:rPr>
          <w:rStyle w:val="CollegamentoInternet"/>
          <w:rFonts w:eastAsia="Tahoma" w:cs="Cambria"/>
          <w:strike w:val="false"/>
          <w:dstrike w:val="false"/>
          <w:color w:val="000000"/>
          <w:sz w:val="21"/>
          <w:szCs w:val="21"/>
          <w:u w:val="none"/>
        </w:rPr>
        <w:t>,</w:t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in una situazione di controllo di cui all’art. 2359 del codice civile o in una qualsiasi relazione, anche di fatto, se la situazione di controllo o la relazione comporti che le offerte sono imputabili ad un unico centro decisionale (Art. 80, comma 5, lettera m)? </w:t>
      </w:r>
      <w:bookmarkStart w:id="17" w:name="__DdeLink__1087_1182713013"/>
      <w:r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1"/>
          <w:szCs w:val="21"/>
          <w:lang w:val="it-IT"/>
        </w:rPr>
        <w:t xml:space="preserve"> </w:t>
      </w:r>
      <w:bookmarkEnd w:id="17"/>
      <w:r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/>
          <w:strike w:val="false"/>
          <w:dstrike w:val="false"/>
          <w:sz w:val="21"/>
          <w:szCs w:val="21"/>
        </w:rPr>
      </w:pPr>
      <w:r>
        <w:rPr>
          <w:rFonts w:eastAsia="Tahoma"/>
          <w:strike w:val="false"/>
          <w:dstrike w:val="false"/>
          <w:sz w:val="21"/>
          <w:szCs w:val="21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lang w:val="it-IT"/>
        </w:rPr>
      </w:pPr>
      <w:bookmarkStart w:id="18" w:name="_GoBack"/>
      <w:bookmarkEnd w:id="18"/>
      <w:r>
        <w:rPr>
          <w:rFonts w:cs="Tahoma"/>
          <w:b/>
          <w:strike w:val="false"/>
          <w:dstrike w:val="false"/>
          <w:sz w:val="21"/>
          <w:szCs w:val="21"/>
          <w:lang w:val="it-IT"/>
        </w:rPr>
        <w:t>PARTE IV DEL DGUE – Criteri di selezione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In qualità di ausiliaria si impegna a mettere a disposizione del concorrente i seguenti requisiti di cui è carente: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 xml:space="preserve">A.  Requisiti di idoneità tecnica e organizzativa: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(con riferimento alla categoria prevalente OG 3 classifica I)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3"/>
        </w:numPr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dell’attestazione di qualificazione SOA nella categoria OG 3 classifica I o superiore di cui fornisce di seguito i dati identificativi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851" w:right="0" w:hanging="32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4"/>
        </w:numPr>
        <w:tabs>
          <w:tab w:val="left" w:pos="0" w:leader="none"/>
          <w:tab w:val="left" w:pos="1410" w:leader="none"/>
        </w:tabs>
        <w:spacing w:lineRule="atLeast" w:line="312"/>
        <w:ind w:left="1571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>identità SOA che ha rilasciato l’attestazione di qualificazione (denominazione, sede etc.):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5"/>
        </w:numPr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  <w:t>estremi attestazione qualificazione: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Attestazione numero: ___________________ Rilasciata il 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Scadenza validità triennale il ______________________________</w:t>
      </w:r>
    </w:p>
    <w:p>
      <w:pPr>
        <w:pStyle w:val="Normale1"/>
        <w:spacing w:lineRule="atLeast" w:line="312"/>
        <w:rPr>
          <w:sz w:val="22"/>
          <w:szCs w:val="22"/>
        </w:rPr>
      </w:pPr>
      <w:r>
        <w:rPr>
          <w:sz w:val="22"/>
          <w:szCs w:val="22"/>
        </w:rPr>
        <w:tab/>
        <w:t xml:space="preserve">       Scadenza validità quinquennale  il 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categorie di lavorazioni</w:t>
      </w:r>
      <w:r>
        <w:rPr>
          <w:sz w:val="22"/>
          <w:szCs w:val="22"/>
        </w:rPr>
        <w:t xml:space="preserve"> possedute e relative </w:t>
      </w:r>
      <w:r>
        <w:rPr>
          <w:b/>
          <w:bCs/>
          <w:sz w:val="22"/>
          <w:szCs w:val="22"/>
        </w:rPr>
        <w:t>classifiche d’importo</w:t>
      </w:r>
      <w:r>
        <w:rPr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sz w:val="22"/>
          <w:szCs w:val="22"/>
        </w:rPr>
        <w:t>direttori tecnici</w:t>
      </w:r>
      <w:r>
        <w:rPr>
          <w:sz w:val="22"/>
          <w:szCs w:val="22"/>
        </w:rPr>
        <w:t xml:space="preserve"> sono: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.. nato a………………………….il……………………..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312"/>
        <w:rPr>
          <w:sz w:val="22"/>
          <w:szCs w:val="22"/>
        </w:rPr>
      </w:pPr>
      <w:bookmarkStart w:id="19" w:name="__DdeLink__43284_1824034139"/>
      <w:bookmarkEnd w:id="19"/>
      <w:r>
        <w:rPr>
          <w:sz w:val="22"/>
          <w:szCs w:val="22"/>
        </w:rPr>
        <w:tab/>
        <w:t xml:space="preserve">       ……………………….. nato a………………………….il……………………..</w:t>
      </w:r>
    </w:p>
    <w:p>
      <w:pPr>
        <w:pStyle w:val="Normale1"/>
        <w:spacing w:lineRule="atLeast" w:line="3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  <w:t>nonché</w:t>
      </w:r>
    </w:p>
    <w:p>
      <w:pPr>
        <w:pStyle w:val="Normal"/>
        <w:numPr>
          <w:ilvl w:val="0"/>
          <w:numId w:val="7"/>
        </w:numPr>
        <w:spacing w:lineRule="atLeast" w:line="312"/>
        <w:jc w:val="both"/>
        <w:rPr>
          <w:rFonts w:eastAsia="Tahoma" w:cs="Calibri Light"/>
          <w:b w:val="false"/>
          <w:bCs w:val="false"/>
          <w:sz w:val="22"/>
          <w:szCs w:val="22"/>
        </w:rPr>
      </w:pPr>
      <w:r>
        <w:rPr>
          <w:sz w:val="22"/>
          <w:szCs w:val="22"/>
        </w:rPr>
        <w:t>qualora ne ricorra la casistica, allega copia della seguente documentazione comprovante - conformemente alla vigente normativa - idonea procedura di rinnovo della validità triennale e/o intermedia e</w:t>
      </w:r>
      <w:r>
        <w:rPr>
          <w:b w:val="false"/>
          <w:bCs w:val="false"/>
          <w:sz w:val="22"/>
          <w:szCs w:val="22"/>
        </w:rPr>
        <w:t>/o quinquennale dell’attestazione SOA</w:t>
      </w:r>
      <w:r>
        <w:rPr>
          <w:rFonts w:eastAsia="Tahoma" w:cs="Calibri Light"/>
          <w:b w:val="false"/>
          <w:bCs w:val="false"/>
          <w:sz w:val="22"/>
          <w:szCs w:val="22"/>
        </w:rPr>
        <w:t>:</w:t>
      </w:r>
    </w:p>
    <w:p>
      <w:pPr>
        <w:pStyle w:val="Normal"/>
        <w:spacing w:lineRule="atLeast" w:line="312"/>
        <w:ind w:left="1440" w:right="0" w:hanging="0"/>
        <w:jc w:val="both"/>
        <w:rPr>
          <w:rFonts w:eastAsia="Tahoma" w:cs="Calibri Light"/>
          <w:b w:val="false"/>
          <w:bCs w:val="false"/>
          <w:sz w:val="22"/>
          <w:szCs w:val="22"/>
        </w:rPr>
      </w:pPr>
      <w:r>
        <w:rPr>
          <w:rFonts w:eastAsia="Tahoma" w:cs="Calibri Light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7"/>
        </w:numPr>
        <w:spacing w:lineRule="atLeast" w:line="312"/>
        <w:jc w:val="both"/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</w:pPr>
      <w:r>
        <w:rPr>
          <w:rStyle w:val="Carpredefinitoparagrafo"/>
          <w:rFonts w:eastAsia="Tahoma" w:cs="Times New Roman"/>
          <w:b w:val="false"/>
          <w:bCs w:val="false"/>
          <w:sz w:val="22"/>
          <w:szCs w:val="22"/>
          <w:highlight w:val="white"/>
          <w:u w:val="none"/>
        </w:rPr>
        <w:t xml:space="preserve">Qualora il concorrente per la qualificazione nella categoria necessiti di una iscrizione per classifica pari o superiore alla III dovrà riportare l’indicazione del possesso della </w:t>
      </w:r>
      <w:r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  <w:t>certificazione di qualità dell’art. 63 del DPR 207/2010.</w:t>
      </w:r>
    </w:p>
    <w:p>
      <w:pPr>
        <w:pStyle w:val="Normal"/>
        <w:widowControl w:val="false"/>
        <w:tabs>
          <w:tab w:val="left" w:pos="0" w:leader="none"/>
        </w:tabs>
        <w:spacing w:lineRule="atLeast" w:line="312"/>
        <w:ind w:left="1440" w:right="0" w:hanging="0"/>
        <w:jc w:val="both"/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</w:pPr>
      <w:r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Calibri Light"/>
          <w:b/>
          <w:sz w:val="21"/>
          <w:szCs w:val="21"/>
        </w:rPr>
      </w:pPr>
      <w:r>
        <w:rPr>
          <w:rFonts w:eastAsia="Tahoma" w:cs="Calibri Light"/>
          <w:b/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 xml:space="preserve">Con riferimento ai requisiti oggetto di avvalimento sopra indicati dichiara: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•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>di obbligarsi verso il concorrente e verso il Comune committente a fornire le risorse di cui al requisito sopra specificato e a mettere a disposizione le risorse necessarie per tutta la durata dell’appalto:</w:t>
      </w:r>
      <w:bookmarkStart w:id="20" w:name="__DdeLink__1087_1182713012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20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strike w:val="false"/>
          <w:dstrike w:val="false"/>
          <w:sz w:val="21"/>
          <w:szCs w:val="21"/>
        </w:rPr>
      </w:pPr>
      <w:r>
        <w:rPr>
          <w:strike w:val="false"/>
          <w:dstrike w:val="false"/>
          <w:sz w:val="21"/>
          <w:szCs w:val="21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jc w:val="left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•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>di non partecipare alla presente procedura in gara in proprio, come associata o come consorziata, e di non essere stata nominata ausiliaria di più di un concorrente:</w:t>
      </w:r>
      <w:bookmarkStart w:id="21" w:name="__DdeLink__1087_1182713011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21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>ULTERIORI DICHIARAZIONI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L’operatore economico dichiara: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widowControl w:val="false"/>
        <w:numPr>
          <w:ilvl w:val="0"/>
          <w:numId w:val="9"/>
        </w:numPr>
        <w:tabs>
          <w:tab w:val="left" w:pos="284" w:leader="none"/>
          <w:tab w:val="left" w:pos="1125" w:leader="none"/>
          <w:tab w:val="left" w:pos="1213" w:leader="none"/>
          <w:tab w:val="left" w:pos="1276" w:leader="none"/>
        </w:tabs>
        <w:suppressAutoHyphens w:val="true"/>
        <w:bidi w:val="0"/>
        <w:spacing w:lineRule="atLeast" w:line="283"/>
        <w:ind w:left="737" w:right="0" w:hanging="360"/>
        <w:jc w:val="both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di non essere soggetto alle cause di esclusione delle procedure di appalto di cui all'art. 41 del D. Lgs. 198/2006 (Codice delle pari opportunità tra uomo e donna ex art. 6 della legge 246/2005) e di cui all'art. 44 del D. Lgs. 286/1998 (Testo Unico delle disposizioni concernenti la disciplina dell'immigrazione e norme sulla condizione dello straniero);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widowControl w:val="false"/>
        <w:numPr>
          <w:ilvl w:val="0"/>
          <w:numId w:val="9"/>
        </w:numPr>
        <w:tabs>
          <w:tab w:val="left" w:pos="284" w:leader="none"/>
          <w:tab w:val="left" w:pos="1150" w:leader="none"/>
          <w:tab w:val="left" w:pos="1225" w:leader="none"/>
          <w:tab w:val="left" w:pos="1276" w:leader="none"/>
        </w:tabs>
        <w:suppressAutoHyphens w:val="true"/>
        <w:bidi w:val="0"/>
        <w:spacing w:lineRule="atLeast" w:line="283"/>
        <w:ind w:left="737" w:right="0" w:hanging="360"/>
        <w:jc w:val="both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 xml:space="preserve"> 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>di non aver violato l’art. 5, comma 2, lett. c), l. 15 dicembre 1990, n. 386 (“Nuova disciplina sanzionatoria degli assegni bancari”);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/>
      </w:pPr>
      <w:r>
        <w:rPr/>
      </w:r>
    </w:p>
    <w:p>
      <w:pPr>
        <w:pStyle w:val="Normal"/>
        <w:widowControl w:val="false"/>
        <w:numPr>
          <w:ilvl w:val="0"/>
          <w:numId w:val="9"/>
        </w:numPr>
        <w:tabs>
          <w:tab w:val="left" w:pos="284" w:leader="none"/>
          <w:tab w:val="left" w:pos="1276" w:leader="none"/>
        </w:tabs>
        <w:suppressAutoHyphens w:val="true"/>
        <w:overflowPunct w:val="false"/>
        <w:bidi w:val="0"/>
        <w:spacing w:lineRule="atLeast" w:line="312"/>
        <w:ind w:left="737" w:right="0" w:hanging="360"/>
        <w:jc w:val="both"/>
        <w:textAlignment w:val="baseline"/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</w:pPr>
      <w:r>
        <w:rPr>
          <w:rFonts w:eastAsia="Tahoma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 </w:t>
      </w:r>
      <w:r>
        <w:rPr>
          <w:rFonts w:eastAsia="Tahoma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di accettare e di essere a piena conoscenza che il presente appalto sarà soggetto alle condizioni e alle clausole del </w:t>
      </w:r>
      <w:r>
        <w:rPr>
          <w:rStyle w:val="Carpredefinitoparagrafo"/>
          <w:rFonts w:eastAsia="Arial;Bold" w:cs="Arial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“Protocollo d’intesa per la prevenzione dei tentativi di infiltrazione della criminalità organizzata nel settore degli appalti pubblici e concessioni di lavori pubblici </w:t>
      </w:r>
      <w:r>
        <w:rPr>
          <w:rStyle w:val="Carpredefinitoparagrafo"/>
          <w:rFonts w:eastAsia="Arial;Bold" w:cs="Arial"/>
          <w:b w:val="false"/>
          <w:bCs w:val="false"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“ stipulato tra al Prefettura di Reggio Emilia e Comune di Scandiano in data 28/10/2012 e allegato al </w:t>
      </w:r>
      <w:r>
        <w:rPr>
          <w:rStyle w:val="Carpredefinitoparagrafo"/>
          <w:rFonts w:eastAsia="Tahoma" w:cs="Arial"/>
          <w:b w:val="false"/>
          <w:bCs w:val="false"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>Bando integrale di gara</w:t>
      </w:r>
      <w:r>
        <w:rPr>
          <w:rStyle w:val="Carpredefinitoparagrafo"/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 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>(art. 1, comma 17, della l. 190/2012)</w:t>
      </w:r>
    </w:p>
    <w:p>
      <w:pPr>
        <w:pStyle w:val="Normal"/>
        <w:widowControl w:val="false"/>
        <w:tabs>
          <w:tab w:val="left" w:pos="284" w:leader="none"/>
          <w:tab w:val="left" w:pos="1276" w:leader="none"/>
        </w:tabs>
        <w:suppressAutoHyphens w:val="true"/>
        <w:overflowPunct w:val="false"/>
        <w:bidi w:val="0"/>
        <w:spacing w:lineRule="atLeast" w:line="312"/>
        <w:ind w:left="454" w:right="0" w:hanging="0"/>
        <w:jc w:val="both"/>
        <w:textAlignment w:val="baseline"/>
        <w:rPr/>
      </w:pPr>
      <w:r>
        <w:rPr/>
      </w:r>
    </w:p>
    <w:p>
      <w:pPr>
        <w:pStyle w:val="Normal"/>
        <w:widowControl w:val="false"/>
        <w:numPr>
          <w:ilvl w:val="0"/>
          <w:numId w:val="8"/>
        </w:numPr>
        <w:tabs>
          <w:tab w:val="left" w:pos="284" w:leader="none"/>
          <w:tab w:val="left" w:pos="1276" w:leader="none"/>
        </w:tabs>
        <w:suppressAutoHyphens w:val="true"/>
        <w:overflowPunct w:val="false"/>
        <w:bidi w:val="0"/>
        <w:spacing w:lineRule="atLeast" w:line="312"/>
        <w:ind w:left="454" w:right="0" w:hanging="360"/>
        <w:jc w:val="both"/>
        <w:textAlignment w:val="baseline"/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</w:pPr>
      <w:r>
        <w:rPr>
          <w:rFonts w:eastAsia="Tahoma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 </w:t>
      </w:r>
      <w:r>
        <w:rPr>
          <w:rFonts w:eastAsia="Tahoma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>di accettare e di essere a piena conoscenza che il presente appalto sarà soggetto alle condizioni e alle clausole del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 </w:t>
      </w:r>
      <w:r>
        <w:rPr>
          <w:rFonts w:eastAsia="Arial;Bold" w:cs="Arial"/>
          <w:b w:val="false"/>
          <w:bCs/>
          <w:i/>
          <w:iCs/>
          <w:strike w:val="false"/>
          <w:dstrike w:val="false"/>
          <w:sz w:val="22"/>
          <w:szCs w:val="22"/>
          <w:u w:val="none"/>
          <w:shd w:fill="FFFFFF" w:val="clear"/>
          <w:lang w:val="it-IT"/>
        </w:rPr>
        <w:t>“Protocollo d’intesa contro il lavoro nero ed irregolare e l'evasione contributiva negli appalti di opere e lavori pubblici”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 xml:space="preserve"> allegato al Bando integrale di gara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widowControl w:val="false"/>
        <w:numPr>
          <w:ilvl w:val="0"/>
          <w:numId w:val="8"/>
        </w:numPr>
        <w:tabs>
          <w:tab w:val="left" w:pos="284" w:leader="none"/>
          <w:tab w:val="left" w:pos="913" w:leader="none"/>
          <w:tab w:val="left" w:pos="1276" w:leader="none"/>
        </w:tabs>
        <w:suppressAutoHyphens w:val="true"/>
        <w:bidi w:val="0"/>
        <w:spacing w:lineRule="atLeast" w:line="283"/>
        <w:ind w:left="397" w:right="0" w:hanging="360"/>
        <w:jc w:val="both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 xml:space="preserve"> 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 xml:space="preserve">di essere informato, ai sensi dell’art. 13 del Regolamento Europeo n. 679/2016  che i dati personali   raccolti saranno trattati, anche con strumenti informatici, esclusivamente nell’ambito della presente gara, nonché dell’esistenza dei diritti di cui al medesimo Regolamento;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uto" w:line="240"/>
        <w:ind w:left="397" w:right="0" w:hanging="360"/>
        <w:jc w:val="both"/>
        <w:textAlignment w:val="baseline"/>
        <w:rPr>
          <w:rFonts w:eastAsia="Times New Roman" w:cs="Times New Roman"/>
          <w:sz w:val="22"/>
          <w:szCs w:val="22"/>
          <w:lang w:eastAsia="it-IT"/>
        </w:rPr>
      </w:pP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eastAsia="it-IT"/>
        </w:rPr>
        <w:t>l’inesistenza di alcun divieto di contrarre con la pubblica amministrazione compreso quanto previsto dall’art. 53 comma 16-ter del D. Lgs.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/>
      </w:pPr>
      <w:r>
        <w:rPr/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 xml:space="preserve">di </w:t>
      </w:r>
      <w:r>
        <w:rPr>
          <w:sz w:val="22"/>
          <w:szCs w:val="22"/>
        </w:rPr>
        <w:t xml:space="preserve">applicare integralmente i contratti collettivi nazionali di lavoro di settore, gli accordi sindacali integrativi,le norme sulla sicurezza dei lavoratori nei luoghi di lavoro e tutti gli adempimenti di legge nei confronti dei </w:t>
      </w:r>
      <w:r>
        <w:rPr>
          <w:rFonts w:eastAsia="Tahoma" w:cs="Tahoma"/>
          <w:sz w:val="22"/>
          <w:szCs w:val="22"/>
        </w:rPr>
        <w:t>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il tassativo rispetto</w:t>
      </w:r>
      <w:r>
        <w:rPr>
          <w:sz w:val="22"/>
          <w:szCs w:val="22"/>
        </w:rPr>
        <w:t>, delle norme sulla sicurezza nei luoghi di lavoro di cui al D. Lgs. 81/2008, nonché di tutti gli adempimenti di legge nei confronti dei lavoratori dipendenti o soci;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di impegnarsi ad adempiere a tutti gli obblighi ed adempimenti di cui alla L. 136/2010;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26" w:leader="none"/>
          <w:tab w:val="left" w:pos="454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rFonts w:eastAsia="Tahoma" w:cs="Tahoma"/>
          <w:sz w:val="22"/>
          <w:szCs w:val="22"/>
          <w:lang w:eastAsia="it-IT"/>
        </w:rPr>
      </w:pPr>
      <w:r>
        <w:rPr>
          <w:rFonts w:eastAsia="Times New Roman" w:cs="Times New Roman"/>
          <w:sz w:val="22"/>
          <w:szCs w:val="22"/>
          <w:lang w:eastAsia="it-IT"/>
        </w:rPr>
        <w:t xml:space="preserve"> </w:t>
      </w:r>
      <w:r>
        <w:rPr>
          <w:rFonts w:eastAsia="Times New Roman" w:cs="Times New Roman"/>
          <w:sz w:val="22"/>
          <w:szCs w:val="22"/>
          <w:lang w:eastAsia="it-IT"/>
        </w:rPr>
        <w:t>di non essere soggetto alle cause di esclusione delle procedure di appalto di cui all'art. 41 del D. Lgs. 198/2006 (Codice delle pari opportunità tra uomo e donna ex art. 6 della legge 246/2005) e di cui all'art. 44 del D.Lgs. 286/1998 (Testo Unico delle disposizioni concernenti la disciplina dell'immigrazione e norme sulla condizione dello straniero)</w:t>
      </w:r>
      <w:r>
        <w:rPr>
          <w:rFonts w:eastAsia="Tahoma" w:cs="Tahoma"/>
          <w:sz w:val="22"/>
          <w:szCs w:val="22"/>
          <w:lang w:eastAsia="it-IT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>
          <w:rFonts w:eastAsia="Times New Roman" w:cs="Times New Roman"/>
          <w:sz w:val="22"/>
          <w:szCs w:val="22"/>
          <w:lang w:eastAsia="it-IT"/>
        </w:rPr>
      </w:pPr>
      <w:r>
        <w:rPr>
          <w:rFonts w:eastAsia="Times New Roman" w:cs="Times New Roman"/>
          <w:sz w:val="22"/>
          <w:szCs w:val="22"/>
          <w:lang w:eastAsia="it-IT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312"/>
        <w:ind w:left="397" w:right="0" w:hanging="360"/>
        <w:jc w:val="both"/>
        <w:textAlignment w:val="baseline"/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  <w:t xml:space="preserve"> </w:t>
      </w:r>
      <w:r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shd w:fill="FFFFFF" w:val="clear"/>
          <w:lang w:val="it-IT" w:eastAsia="it-IT"/>
        </w:rPr>
        <w:t>di essere edotto degli obblighi derivanti dal codice di comportamento di cui al D.P.R. n. 62/2013, come recepito dal Comune committente con deliberazione di Giunta Comunale n. 252 del 19/12/2013, reperibile sul sito internet istituzionale del Comune di Scandiano alla sezione “Amministrazione trasparente &gt; Disposizioni generali &gt; Atti generali &gt; Codice disciplinare e codice di condotta” e si impegna, in caso di aggiudicazione, ad osservare ed a far osservare ai propri dipendenti e collaboratori il suddetto codice, pena la risoluzione del contratto;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bCs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Cs/>
          <w:strike w:val="false"/>
          <w:dstrike w:val="false"/>
          <w:sz w:val="21"/>
          <w:szCs w:val="21"/>
          <w:lang w:val="it-IT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ind w:left="454" w:right="0" w:hanging="360"/>
        <w:jc w:val="both"/>
        <w:textAlignment w:val="baseline"/>
        <w:rPr>
          <w:rFonts w:eastAsia="Tahoma" w:cs="Arial"/>
          <w:sz w:val="22"/>
          <w:szCs w:val="22"/>
          <w:lang w:val="it-IT"/>
        </w:rPr>
      </w:pP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Arial"/>
          <w:sz w:val="22"/>
          <w:szCs w:val="22"/>
          <w:lang w:val="it-IT"/>
        </w:rPr>
        <w:t>qualora un partecipante alla gara eserciti la facoltà di “accesso agli atti”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rFonts w:eastAsia="Tahoma" w:cs="Tahoma"/>
        </w:rPr>
      </w:pPr>
      <w:r>
        <w:rPr>
          <w:rFonts w:eastAsia="Tahoma" w:cs="Tahoma"/>
        </w:rPr>
      </w:r>
    </w:p>
    <w:p>
      <w:pPr>
        <w:pStyle w:val="Numerazioneperbuste"/>
        <w:widowControl/>
        <w:numPr>
          <w:ilvl w:val="0"/>
          <w:numId w:val="6"/>
        </w:numPr>
        <w:suppressAutoHyphens w:val="true"/>
        <w:bidi w:val="0"/>
        <w:spacing w:lineRule="auto" w:line="360" w:before="120" w:after="120"/>
        <w:ind w:left="737" w:right="0" w:hanging="432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[…] autorizza la stazione appaltante a rilasciare copia di tutta la documentazione presentata per la partecipazione alla gara;</w:t>
      </w:r>
    </w:p>
    <w:p>
      <w:pPr>
        <w:pStyle w:val="Normal"/>
        <w:spacing w:lineRule="auto" w:line="360"/>
        <w:ind w:left="720" w:right="0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oppure 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rFonts w:eastAsia="Tahoma" w:cs="Arial"/>
          <w:sz w:val="22"/>
          <w:szCs w:val="22"/>
        </w:rPr>
      </w:pPr>
      <w:r>
        <w:rPr>
          <w:rFonts w:eastAsia="Tahoma" w:cs="Arial"/>
          <w:sz w:val="22"/>
          <w:szCs w:val="22"/>
        </w:rPr>
        <w:t xml:space="preserve"> </w:t>
      </w:r>
      <w:r>
        <w:rPr>
          <w:rFonts w:eastAsia="Tahoma" w:cs="Arial"/>
          <w:sz w:val="22"/>
          <w:szCs w:val="22"/>
        </w:rPr>
        <w:t xml:space="preserve">[…] </w:t>
      </w:r>
      <w:r>
        <w:rPr>
          <w:rFonts w:eastAsia="Tahoma" w:cs="Calibri Light"/>
          <w:sz w:val="22"/>
          <w:szCs w:val="22"/>
        </w:rPr>
        <w:t xml:space="preserve"> di non autorizzare </w:t>
      </w:r>
      <w:r>
        <w:rPr>
          <w:rFonts w:eastAsia="Tahoma" w:cs="Arial"/>
          <w:sz w:val="22"/>
          <w:szCs w:val="22"/>
        </w:rPr>
        <w:t xml:space="preserve">la stazione appaltante </w:t>
      </w:r>
      <w:r>
        <w:rPr>
          <w:rFonts w:eastAsia="Times New Roman" w:cs="Times New Roman"/>
          <w:sz w:val="22"/>
          <w:szCs w:val="22"/>
          <w:lang w:eastAsia="it-IT"/>
        </w:rPr>
        <w:t xml:space="preserve"> </w:t>
      </w:r>
      <w:r>
        <w:rPr>
          <w:rFonts w:eastAsia="Tahoma" w:cs="Arial"/>
          <w:sz w:val="22"/>
          <w:szCs w:val="22"/>
        </w:rPr>
        <w:t xml:space="preserve">a rilasciare copia della documentazione presentata in quanto coperte da segreto tecnico/commerciale. A tal fine </w:t>
      </w:r>
      <w:r>
        <w:rPr>
          <w:rFonts w:eastAsia="Tahoma" w:cs="Arial"/>
          <w:b/>
          <w:bCs/>
          <w:sz w:val="22"/>
          <w:szCs w:val="22"/>
          <w:u w:val="single"/>
        </w:rPr>
        <w:t>allega una dichiarazione denominata “Segreti tecnici e commerciali”</w:t>
      </w:r>
      <w:r>
        <w:rPr>
          <w:rFonts w:eastAsia="Tahoma" w:cs="Arial"/>
          <w:sz w:val="22"/>
          <w:szCs w:val="22"/>
        </w:rPr>
        <w:t xml:space="preserve"> che dovrà essere adeguatamente motivata e comprovata ai sensi dell’art. 53, comma 5, lett. a), del Codice;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0"/>
        </w:numPr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ind w:left="680" w:right="0" w:hanging="360"/>
        <w:jc w:val="both"/>
        <w:textAlignment w:val="baseline"/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b/>
          <w:bCs/>
          <w:strike w:val="false"/>
          <w:dstrike w:val="false"/>
          <w:sz w:val="21"/>
          <w:szCs w:val="21"/>
          <w:lang w:val="it-IT"/>
        </w:rPr>
        <w:t xml:space="preserve">[Per gli operatori economici non residenti e privi di stabile organizzazione in Italia] </w:t>
      </w:r>
      <w:r>
        <w:rPr>
          <w:rFonts w:eastAsia="Tahoma" w:cs="Cambria"/>
          <w:bCs/>
          <w:strike w:val="false"/>
          <w:dstrike w:val="false"/>
          <w:sz w:val="21"/>
          <w:szCs w:val="21"/>
          <w:lang w:val="it-IT"/>
        </w:rPr>
        <w:t>si impegna ad uniformarsi, in caso di aggiudicazione, alla disciplina di cui agli articoli 17, comma 2, e 53, comma 3 del d.p.r. 633/1972 e a comunicare alla stazione appaltante la nomina del proprio rappresentante fiscale, nelle forme di legge:</w:t>
      </w:r>
      <w:bookmarkStart w:id="22" w:name="__DdeLink__1087_1182713016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 xml:space="preserve"> </w:t>
      </w:r>
      <w:bookmarkEnd w:id="22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 xml:space="preserve">     [   ]Sì    </w:t>
      </w:r>
      <w:bookmarkStart w:id="23" w:name="__DdeLink__7842_1774369944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 xml:space="preserve"> [   ]</w:t>
      </w:r>
      <w:bookmarkEnd w:id="23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>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u w:val="single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u w:val="single"/>
          <w:lang w:val="it-IT"/>
        </w:rPr>
      </w:r>
    </w:p>
    <w:p>
      <w:pPr>
        <w:pStyle w:val="Sche3"/>
        <w:widowControl w:val="false"/>
        <w:numPr>
          <w:ilvl w:val="0"/>
          <w:numId w:val="10"/>
        </w:numPr>
        <w:tabs>
          <w:tab w:val="left" w:pos="284" w:leader="none"/>
          <w:tab w:val="left" w:pos="1276" w:leader="none"/>
        </w:tabs>
        <w:suppressAutoHyphens w:val="true"/>
        <w:bidi w:val="0"/>
        <w:spacing w:lineRule="atLeast" w:line="283"/>
        <w:ind w:left="624" w:right="0" w:hanging="360"/>
        <w:jc w:val="both"/>
        <w:rPr>
          <w:color w:val="000000"/>
          <w:sz w:val="21"/>
          <w:szCs w:val="21"/>
        </w:rPr>
      </w:pPr>
      <w:r>
        <w:rPr>
          <w:rFonts w:cs="Calibri Light"/>
          <w:b/>
          <w:bCs/>
          <w:sz w:val="21"/>
          <w:szCs w:val="21"/>
        </w:rPr>
        <w:t xml:space="preserve"> </w:t>
      </w:r>
      <w:r>
        <w:rPr>
          <w:color w:val="000000"/>
          <w:sz w:val="21"/>
          <w:szCs w:val="21"/>
          <w:u w:val="single"/>
        </w:rPr>
        <w:t>Solo per gli operatori economici ammessi al concordato preventivo con continuità aziendale</w:t>
      </w:r>
      <w:r>
        <w:rPr>
          <w:color w:val="000000"/>
          <w:sz w:val="21"/>
          <w:szCs w:val="21"/>
        </w:rPr>
        <w:t xml:space="preserve"> di cui all’art. 186 bis del R.D. 16 marzo 1942, n. 267, o che abbiano depositato la domanda di cui all'art. 161, sesto comma, del citato RD 267/1942: dichiarazione attestante quanto segue (rispettivamente e a secondo della fase):</w:t>
      </w:r>
    </w:p>
    <w:p>
      <w:pPr>
        <w:pStyle w:val="Normal"/>
        <w:spacing w:lineRule="atLeast" w:line="283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tLeast" w:line="283"/>
        <w:ind w:left="720" w:right="0" w:hang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a)  </w:t>
      </w:r>
      <w:r>
        <w:rPr>
          <w:color w:val="000000"/>
          <w:sz w:val="21"/>
          <w:szCs w:val="21"/>
          <w:u w:val="single"/>
        </w:rPr>
        <w:t xml:space="preserve">Tra la fase di presentazione della domanda di concordato fino all'emissione del decreto di apertura: </w:t>
      </w:r>
      <w:r>
        <w:rPr>
          <w:color w:val="000000"/>
          <w:sz w:val="21"/>
          <w:szCs w:val="21"/>
        </w:rPr>
        <w:t xml:space="preserve">ad integrazione di quanto indicato nella parte III, sez. C, lett. d) del DGUE, dovranno essere dichiarati gli  estremi del provvedimento di autorizzazione a partecipare alle gare, rilasciato dal Tribunale di ……………… nonché dichiarazione  attestante: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 </w:t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b) </w:t>
      </w:r>
      <w:r>
        <w:rPr>
          <w:color w:val="000000"/>
          <w:sz w:val="21"/>
          <w:szCs w:val="21"/>
          <w:u w:val="single"/>
        </w:rPr>
        <w:t>Dopo l'emissione del decreto di apertura:</w:t>
      </w:r>
      <w:r>
        <w:rPr>
          <w:color w:val="000000"/>
          <w:sz w:val="21"/>
          <w:szCs w:val="21"/>
        </w:rPr>
        <w:t xml:space="preserve"> ad integrazione di quanto indicato nella parte III, sez. C, lett. d) del DGUE, dovranno essere dichiarati  gli  estremi del provvedimento di autorizzazione a partecipare alle gare rilasciato dal Giudice delegato di ……………… nonché dichiarazione attestante:  di non partecipare alla gara quale mandataria di un raggruppamento temporaneo di imprese e che le altre imprese aderenti al raggruppamento non sono assoggettate ad una procedura concorsuale ai sensi dell’art. 186 bis, comma 6 del R.D. 16 marzo 1942, n. 267.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numPr>
          <w:ilvl w:val="0"/>
          <w:numId w:val="11"/>
        </w:numPr>
        <w:tabs>
          <w:tab w:val="left" w:pos="454" w:leader="none"/>
          <w:tab w:val="left" w:pos="913" w:leader="none"/>
          <w:tab w:val="left" w:pos="1446" w:leader="none"/>
        </w:tabs>
        <w:suppressAutoHyphens w:val="true"/>
        <w:bidi w:val="0"/>
        <w:spacing w:lineRule="atLeast" w:line="283"/>
        <w:ind w:left="680" w:right="0" w:hanging="360"/>
        <w:jc w:val="both"/>
        <w:textAlignment w:val="baseline"/>
        <w:rPr>
          <w:sz w:val="20"/>
        </w:rPr>
      </w:pPr>
      <w:bookmarkStart w:id="24" w:name="__DdeLink__60137_907330813"/>
      <w:r>
        <w:rPr>
          <w:sz w:val="22"/>
          <w:szCs w:val="22"/>
        </w:rPr>
        <w:t xml:space="preserve">che </w:t>
      </w:r>
      <w:r>
        <w:rPr>
          <w:sz w:val="20"/>
          <w:szCs w:val="22"/>
        </w:rPr>
        <w:t xml:space="preserve"> preso atto degli affidatari degli incarichi nell'ambito del progetto posto a base della presente </w:t>
      </w:r>
      <w:bookmarkEnd w:id="24"/>
      <w:r>
        <w:rPr>
          <w:sz w:val="20"/>
        </w:rPr>
        <w:t>gara, non sussiste ai sensi dell’art 24 co 7 del D. Lgs 50/2016, alcuna delle cause di incompatibilità e/o divieti a partecipare/essere affidatari dell’appalto di cui trattasi, fatto salvo quanto previsto nel medesimo comma 7 ultimo periodo.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Calibri Light"/>
          <w:b/>
          <w:sz w:val="21"/>
          <w:szCs w:val="21"/>
        </w:rPr>
      </w:pPr>
      <w:r>
        <w:rPr>
          <w:rFonts w:cs="Calibri Light"/>
          <w:b/>
          <w:sz w:val="21"/>
          <w:szCs w:val="21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Luogo a data___________________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ab/>
        <w:tab/>
        <w:tab/>
        <w:tab/>
        <w:tab/>
        <w:tab/>
        <w:tab/>
        <w:tab/>
        <w:t xml:space="preserve">        IL RICHIEDENTE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ab/>
        <w:tab/>
        <w:tab/>
        <w:tab/>
        <w:tab/>
        <w:tab/>
        <w:tab/>
        <w:t xml:space="preserve">                  (firmato digitalmente)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5" w:header="396" w:top="1193" w:footer="720" w:bottom="777" w:gutter="0"/>
      <w:pgNumType w:start="1" w:fmt="decimal"/>
      <w:formProt w:val="false"/>
      <w:textDirection w:val="lrTb"/>
      <w:docGrid w:type="default" w:linePitch="24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  <w:tab/>
    </w: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>
          <w:rFonts w:ascii="Garamond" w:hAnsi="Garamond"/>
          <w:sz w:val="20"/>
          <w:szCs w:val="20"/>
        </w:rPr>
      </w:pPr>
      <w:r>
        <w:rPr>
          <w:rStyle w:val="Footnotereference"/>
        </w:rPr>
        <w:footnoteRef/>
        <w:tab/>
      </w:r>
      <w:r>
        <w:rPr>
          <w:rFonts w:ascii="Garamond" w:hAnsi="Garamond"/>
          <w:sz w:val="20"/>
          <w:szCs w:val="20"/>
        </w:rPr>
        <w:t>I soggetti di cui all’art. 80, comma 3, del Codice sono i seguenti: - del titolare e del direttore tecnico, se previsto, se si tratta di operatore economico individuale;</w:t>
        <w:tab/>
        <w:t>- dei soci e del direttore tecnico, se previsto, per le società in nome collettivo;</w:t>
        <w:tab/>
        <w:t>- dei soci accomandatari e del direttore tecnico, se previsto, se si tratta di società in accomandita semplice;</w:t>
        <w:tab/>
        <w:t>- di tutti i membri del consiglio di amministrazione a cui sia stata conferita la legale rappresentanza, ivi compresi institori e procuratori generali, dei membri degli organi con poteri di direzione o di vigilanza (inclusi i soggetti titolari di poteri sostitutivi e/o delegati – es. vicepresidenti), dei soggetti muniti di poteri di rappresentanza, di direzione o controllo, del direttore tecnico, se previsto, e del socio unico persona fisica, ovvero del socio di maggioranza, persona fisica o giuridica, in caso di società con numero di soci pari o inferiore a quattro, se si tratta di altro tipo di società o consorzio (per socio di maggioranza si intende il socio titolare di una quota pari o superiore al 50% del capitale sociale. In caso di due soci titolari ciascuno di una quota di capitale sociale pari al 50%, la dichiarazione dovrà essere resa per entrambi i soci. Nel caso di tre soci la dichiarazione dovrà essere resa solo per il socio titolare di una quota pari o superiore al 50% del capitale sociale). Ove il socio di maggioranza della società concorrente fosse una persona giuridica la dichiarazione dovrà riguardare i soggetti con poteri di rappresentanza, direzione, controllo, vigilanza e direttori tecnici. Non sono richieste dichiarazioni relative al ulteriori livelli di proprietà;</w:t>
        <w:tab/>
        <w:t>- dei soggetti cessati nell'anno precedente la data di pubblicazione del bando integrale di gara dalle cariche sopra indicate ovvero qualora sia intervenuta una causa di esclusione di cui al comma 1 e 2 dell'art. 80 del D. Lgs. 50/2016 vi sia stata completa ed effettiva dissociazione dalla condotta penalmente sanzionata come da documentazione che si produce.</w:t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</w:footnote>
  <w:footnote w:id="3">
    <w:p>
      <w:pPr>
        <w:pStyle w:val="Notaapidipagina"/>
        <w:rPr/>
      </w:pPr>
      <w:r>
        <w:rPr/>
        <w:footnoteRef/>
        <w:tab/>
      </w:r>
    </w:p>
  </w:footnote>
  <w:footnote w:id="4">
    <w:p>
      <w:pPr>
        <w:pStyle w:val="Notaapidipagina"/>
        <w:rPr/>
      </w:pPr>
      <w:r>
        <w:rPr/>
        <w:footnoteRef/>
        <w:tab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widowControl/>
      <w:jc w:val="center"/>
      <w:rPr>
        <w:rFonts w:cs="Tahoma"/>
        <w:b w:val="false"/>
        <w:bCs w:val="false"/>
        <w:sz w:val="20"/>
        <w:szCs w:val="20"/>
      </w:rPr>
    </w:pPr>
    <w:r>
      <w:rPr>
        <w:rFonts w:cs="Tahoma"/>
        <w:b w:val="false"/>
        <w:bCs w:val="false"/>
        <w:sz w:val="20"/>
        <w:szCs w:val="20"/>
      </w:rPr>
      <w:t>Allegato 5_ dichiarazioni integrative DGUE ausiliaria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1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Segoe UI" w:hAnsi="Segoe UI" w:cs="Segoe UI" w:hint="default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234"/>
        </w:tabs>
        <w:ind w:left="123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94"/>
        </w:tabs>
        <w:ind w:left="159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54"/>
        </w:tabs>
        <w:ind w:left="195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74"/>
        </w:tabs>
        <w:ind w:left="267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34"/>
        </w:tabs>
        <w:ind w:left="303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54"/>
        </w:tabs>
        <w:ind w:left="375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14"/>
        </w:tabs>
        <w:ind w:left="4114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153"/>
        </w:tabs>
        <w:ind w:left="1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3"/>
        </w:tabs>
        <w:ind w:left="1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3"/>
        </w:tabs>
        <w:ind w:left="1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3"/>
        </w:tabs>
        <w:ind w:left="2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3"/>
        </w:tabs>
        <w:ind w:left="2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3"/>
        </w:tabs>
        <w:ind w:left="2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3"/>
        </w:tabs>
        <w:ind w:left="3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3"/>
        </w:tabs>
        <w:ind w:left="3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3"/>
        </w:tabs>
        <w:ind w:left="4033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3"/>
        </w:tabs>
        <w:ind w:left="14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3"/>
        </w:tabs>
        <w:ind w:left="17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3"/>
        </w:tabs>
        <w:ind w:left="25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3"/>
        </w:tabs>
        <w:ind w:left="28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3"/>
        </w:tabs>
        <w:ind w:left="35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3"/>
        </w:tabs>
        <w:ind w:left="3943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251"/>
        </w:tabs>
        <w:ind w:left="125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11"/>
        </w:tabs>
        <w:ind w:left="161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71"/>
        </w:tabs>
        <w:ind w:left="197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31"/>
        </w:tabs>
        <w:ind w:left="233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91"/>
        </w:tabs>
        <w:ind w:left="269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51"/>
        </w:tabs>
        <w:ind w:left="305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11"/>
        </w:tabs>
        <w:ind w:left="341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71"/>
        </w:tabs>
        <w:ind w:left="377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31"/>
        </w:tabs>
        <w:ind w:left="4131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iPriority="0" w:name="footnote reference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uiPriority="0" w:name="Hyperlink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Titolo1">
    <w:name w:val="Titolo 1"/>
    <w:qFormat/>
    <w:basedOn w:val="Normal"/>
    <w:pPr>
      <w:keepNext/>
      <w:tabs>
        <w:tab w:val="left" w:pos="0" w:leader="none"/>
        <w:tab w:val="left" w:pos="425" w:leader="none"/>
      </w:tabs>
      <w:ind w:left="0" w:right="1134" w:hanging="0"/>
      <w:jc w:val="center"/>
      <w:outlineLvl w:val="0"/>
    </w:pPr>
    <w:rPr>
      <w:rFonts w:ascii="Arial" w:hAnsi="Arial" w:cs="Arial"/>
      <w:b/>
      <w:u w:val="single"/>
    </w:rPr>
  </w:style>
  <w:style w:type="paragraph" w:styleId="Titolo2">
    <w:name w:val="Titolo 2"/>
    <w:qFormat/>
    <w:basedOn w:val="Titolo"/>
    <w:pPr>
      <w:widowControl w:val="false"/>
      <w:bidi w:val="0"/>
      <w:spacing w:before="200" w:after="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it-IT" w:eastAsia="it-IT" w:bidi="ar-SA"/>
    </w:rPr>
  </w:style>
  <w:style w:type="paragraph" w:styleId="Titolo3">
    <w:name w:val="Titolo 3"/>
    <w:qFormat/>
    <w:basedOn w:val="Titolo"/>
    <w:pPr>
      <w:widowControl w:val="false"/>
      <w:bidi w:val="0"/>
      <w:spacing w:before="140" w:after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it-IT" w:eastAsia="it-IT" w:bidi="ar-SA"/>
    </w:rPr>
  </w:style>
  <w:style w:type="paragraph" w:styleId="Titolo6">
    <w:name w:val="Titolo 6"/>
    <w:qFormat/>
    <w:basedOn w:val="Normal"/>
    <w:pPr>
      <w:keepNext/>
      <w:tabs>
        <w:tab w:val="left" w:pos="0" w:leader="none"/>
      </w:tabs>
      <w:ind w:left="0" w:right="56" w:hanging="0"/>
      <w:jc w:val="center"/>
      <w:outlineLvl w:val="5"/>
    </w:pPr>
    <w:rPr>
      <w:b/>
      <w:sz w:val="28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ascii="Verdana" w:hAnsi="Verdana" w:cs="Verdana"/>
      <w:i w:val="false"/>
      <w:color w:val="000000"/>
      <w:sz w:val="16"/>
      <w:shd w:fill="FFFF00" w:val="clea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cs="Times New Roman"/>
      <w:sz w:val="18"/>
      <w:szCs w:val="18"/>
    </w:rPr>
  </w:style>
  <w:style w:type="character" w:styleId="WW8Num5z0" w:customStyle="1">
    <w:name w:val="WW8Num5z0"/>
    <w:qFormat/>
    <w:rPr>
      <w:rFonts w:ascii="Verdana" w:hAnsi="Verdana" w:cs="Verdana"/>
      <w:b w:val="false"/>
      <w:i w:val="false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ascii="Tahoma" w:hAnsi="Tahoma" w:cs="Tahoma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Verdana" w:hAnsi="Verdana" w:cs="Verdana"/>
      <w:b w:val="false"/>
      <w:i w:val="false"/>
      <w:sz w:val="16"/>
      <w:lang w:val="it-IT"/>
    </w:rPr>
  </w:style>
  <w:style w:type="character" w:styleId="WW8Num7z0" w:customStyle="1">
    <w:name w:val="WW8Num7z0"/>
    <w:qFormat/>
    <w:rPr>
      <w:rFonts w:ascii="Tahoma" w:hAnsi="Tahoma" w:cs="Times New Roman"/>
      <w:sz w:val="18"/>
      <w:szCs w:val="18"/>
    </w:rPr>
  </w:style>
  <w:style w:type="character" w:styleId="WW8Num8z0" w:customStyle="1">
    <w:name w:val="WW8Num8z0"/>
    <w:qFormat/>
    <w:rPr>
      <w:rFonts w:ascii="Tahoma" w:hAnsi="Tahoma" w:cs="Tahoma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Verdana" w:hAnsi="Verdana" w:cs="Verdana"/>
      <w:i w:val="false"/>
      <w:sz w:val="16"/>
      <w:shd w:fill="FFFF00" w:val="clear"/>
    </w:rPr>
  </w:style>
  <w:style w:type="character" w:styleId="WW8Num11z0" w:customStyle="1">
    <w:name w:val="WW8Num11z0"/>
    <w:qFormat/>
    <w:rPr>
      <w:rFonts w:ascii="Calibri" w:hAnsi="Calibri" w:eastAsia="Times New Roman" w:cs="Times New Roman"/>
      <w:b/>
    </w:rPr>
  </w:style>
  <w:style w:type="character" w:styleId="WW8Num12z0" w:customStyle="1">
    <w:name w:val="WW8Num12z0"/>
    <w:qFormat/>
    <w:rPr>
      <w:rFonts w:ascii="Tahoma" w:hAnsi="Tahoma" w:cs="Tahoma"/>
    </w:rPr>
  </w:style>
  <w:style w:type="character" w:styleId="WW8Num12z1" w:customStyle="1">
    <w:name w:val="WW8Num12z1"/>
    <w:qFormat/>
    <w:rPr>
      <w:rFonts w:ascii="Courier New" w:hAnsi="Courier New" w:cs="Courier New"/>
      <w:color w:val="000000"/>
      <w:sz w:val="18"/>
      <w:szCs w:val="18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cs="Verdana"/>
      <w:b w:val="false"/>
      <w:i w:val="false"/>
      <w:sz w:val="16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ascii="Tahoma" w:hAnsi="Tahoma" w:cs="Tahoma"/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  <w:color w:val="000000"/>
    </w:rPr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WW8Num26z0" w:customStyle="1">
    <w:name w:val="WW8Num26z0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cs="Times New Roman"/>
    </w:rPr>
  </w:style>
  <w:style w:type="character" w:styleId="WW8Num30z0" w:customStyle="1">
    <w:name w:val="WW8Num30z0"/>
    <w:qFormat/>
    <w:rPr>
      <w:rFonts w:ascii="Tahoma" w:hAnsi="Tahoma" w:cs="Tahoma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Carpredefinitoparagrafo1" w:customStyle="1">
    <w:name w:val="Car. predefinito paragrafo1"/>
    <w:qFormat/>
    <w:rPr/>
  </w:style>
  <w:style w:type="character" w:styleId="Caratterenotaapidipagina" w:customStyle="1">
    <w:name w:val="Carattere nota a piè di pagina"/>
    <w:qFormat/>
    <w:rPr>
      <w:sz w:val="20"/>
      <w:vertAlign w:val="superscript"/>
    </w:rPr>
  </w:style>
  <w:style w:type="character" w:styleId="Pagenumber">
    <w:name w:val="page number"/>
    <w:qFormat/>
    <w:rPr>
      <w:sz w:val="20"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TestonotaapidipaginaCarattere" w:customStyle="1">
    <w:name w:val="Testo nota a piè di pagina Carattere"/>
    <w:qFormat/>
    <w:rPr>
      <w:lang w:val="it-IT" w:bidi="ar-SA"/>
    </w:rPr>
  </w:style>
  <w:style w:type="character" w:styleId="PidipaginaCarattere" w:customStyle="1">
    <w:name w:val="Piè di pagina Carattere"/>
    <w:uiPriority w:val="99"/>
    <w:qFormat/>
    <w:rPr>
      <w:lang w:val="it-IT" w:bidi="ar-SA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ntestazioneCarattere" w:customStyle="1">
    <w:name w:val="Intestazione Carattere"/>
    <w:qFormat/>
    <w:rPr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ollegamentoInternet" w:customStyle="1">
    <w:name w:val="Collegamento Internet"/>
    <w:qFormat/>
    <w:rPr>
      <w:color w:val="0000FF"/>
      <w:u w:val="single"/>
      <w:lang w:val="zxx" w:eastAsia="zxx" w:bidi="zxx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qFormat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eastAsia="OpenSymbol" w:cs="OpenSymbol"/>
    </w:rPr>
  </w:style>
  <w:style w:type="character" w:styleId="ListLabel2">
    <w:name w:val="ListLabel 2"/>
    <w:qFormat/>
    <w:rPr>
      <w:rFonts w:eastAsia="OpenSymbol" w:cs="OpenSymbol"/>
    </w:rPr>
  </w:style>
  <w:style w:type="character" w:styleId="ListLabel3">
    <w:name w:val="ListLabel 3"/>
    <w:qFormat/>
    <w:rPr>
      <w:rFonts w:eastAsia="OpenSymbol" w:cs="OpenSymbol"/>
    </w:rPr>
  </w:style>
  <w:style w:type="character" w:styleId="ListLabel4">
    <w:name w:val="ListLabel 4"/>
    <w:qFormat/>
    <w:rPr>
      <w:rFonts w:eastAsia="OpenSymbol" w:cs="OpenSymbol"/>
    </w:rPr>
  </w:style>
  <w:style w:type="character" w:styleId="ListLabel5">
    <w:name w:val="ListLabel 5"/>
    <w:qFormat/>
    <w:rPr>
      <w:rFonts w:eastAsia="OpenSymbol" w:cs="OpenSymbol"/>
    </w:rPr>
  </w:style>
  <w:style w:type="character" w:styleId="ListLabel6">
    <w:name w:val="ListLabel 6"/>
    <w:qFormat/>
    <w:rPr>
      <w:rFonts w:eastAsia="OpenSymbol" w:cs="OpenSymbol"/>
    </w:rPr>
  </w:style>
  <w:style w:type="character" w:styleId="ListLabel7">
    <w:name w:val="ListLabel 7"/>
    <w:qFormat/>
    <w:rPr>
      <w:rFonts w:eastAsia="OpenSymbol" w:cs="OpenSymbol"/>
    </w:rPr>
  </w:style>
  <w:style w:type="character" w:styleId="ListLabel8">
    <w:name w:val="ListLabel 8"/>
    <w:qFormat/>
    <w:rPr>
      <w:rFonts w:eastAsia="OpenSymbol" w:cs="OpenSymbol"/>
    </w:rPr>
  </w:style>
  <w:style w:type="character" w:styleId="ListLabel9">
    <w:name w:val="ListLabel 9"/>
    <w:qFormat/>
    <w:rPr>
      <w:rFonts w:eastAsia="OpenSymbol" w:cs="OpenSymbol"/>
    </w:rPr>
  </w:style>
  <w:style w:type="character" w:styleId="ListLabel10">
    <w:name w:val="ListLabel 10"/>
    <w:qFormat/>
    <w:rPr>
      <w:rFonts w:eastAsia="OpenSymbol" w:cs="OpenSymbol"/>
    </w:rPr>
  </w:style>
  <w:style w:type="character" w:styleId="ListLabel11">
    <w:name w:val="ListLabel 11"/>
    <w:qFormat/>
    <w:rPr>
      <w:rFonts w:eastAsia="OpenSymbol" w:cs="OpenSymbol"/>
    </w:rPr>
  </w:style>
  <w:style w:type="character" w:styleId="ListLabel12">
    <w:name w:val="ListLabel 12"/>
    <w:qFormat/>
    <w:rPr>
      <w:rFonts w:eastAsia="OpenSymbol" w:cs="OpenSymbol"/>
    </w:rPr>
  </w:style>
  <w:style w:type="character" w:styleId="ListLabel13">
    <w:name w:val="ListLabel 13"/>
    <w:qFormat/>
    <w:rPr>
      <w:rFonts w:eastAsia="OpenSymbol" w:cs="OpenSymbol"/>
    </w:rPr>
  </w:style>
  <w:style w:type="character" w:styleId="ListLabel14">
    <w:name w:val="ListLabel 14"/>
    <w:qFormat/>
    <w:rPr>
      <w:rFonts w:eastAsia="OpenSymbol" w:cs="OpenSymbol"/>
    </w:rPr>
  </w:style>
  <w:style w:type="character" w:styleId="ListLabel15">
    <w:name w:val="ListLabel 15"/>
    <w:qFormat/>
    <w:rPr>
      <w:rFonts w:eastAsia="OpenSymbol" w:cs="OpenSymbol"/>
    </w:rPr>
  </w:style>
  <w:style w:type="character" w:styleId="ListLabel16">
    <w:name w:val="ListLabel 16"/>
    <w:qFormat/>
    <w:rPr>
      <w:rFonts w:eastAsia="OpenSymbol" w:cs="OpenSymbol"/>
    </w:rPr>
  </w:style>
  <w:style w:type="character" w:styleId="ListLabel17">
    <w:name w:val="ListLabel 17"/>
    <w:qFormat/>
    <w:rPr>
      <w:rFonts w:eastAsia="OpenSymbol" w:cs="OpenSymbol"/>
    </w:rPr>
  </w:style>
  <w:style w:type="character" w:styleId="ListLabel18">
    <w:name w:val="ListLabel 18"/>
    <w:qFormat/>
    <w:rPr>
      <w:rFonts w:eastAsia="OpenSymbol" w:cs="OpenSymbol"/>
    </w:rPr>
  </w:style>
  <w:style w:type="character" w:styleId="ListLabel19">
    <w:name w:val="ListLabel 19"/>
    <w:qFormat/>
    <w:rPr>
      <w:rFonts w:eastAsia="OpenSymbol" w:cs="OpenSymbol"/>
    </w:rPr>
  </w:style>
  <w:style w:type="character" w:styleId="ListLabel20">
    <w:name w:val="ListLabel 20"/>
    <w:qFormat/>
    <w:rPr>
      <w:rFonts w:eastAsia="OpenSymbol" w:cs="OpenSymbol"/>
    </w:rPr>
  </w:style>
  <w:style w:type="character" w:styleId="ListLabel21">
    <w:name w:val="ListLabel 21"/>
    <w:qFormat/>
    <w:rPr>
      <w:rFonts w:eastAsia="OpenSymbol" w:cs="OpenSymbol"/>
    </w:rPr>
  </w:style>
  <w:style w:type="character" w:styleId="ListLabel22">
    <w:name w:val="ListLabel 22"/>
    <w:qFormat/>
    <w:rPr>
      <w:rFonts w:eastAsia="OpenSymbol" w:cs="OpenSymbol"/>
    </w:rPr>
  </w:style>
  <w:style w:type="character" w:styleId="ListLabel23">
    <w:name w:val="ListLabel 23"/>
    <w:qFormat/>
    <w:rPr>
      <w:rFonts w:eastAsia="OpenSymbol" w:cs="OpenSymbol"/>
    </w:rPr>
  </w:style>
  <w:style w:type="character" w:styleId="ListLabel24">
    <w:name w:val="ListLabel 24"/>
    <w:qFormat/>
    <w:rPr>
      <w:rFonts w:eastAsia="OpenSymbol" w:cs="OpenSymbol"/>
    </w:rPr>
  </w:style>
  <w:style w:type="character" w:styleId="ListLabel25">
    <w:name w:val="ListLabel 25"/>
    <w:qFormat/>
    <w:rPr>
      <w:rFonts w:eastAsia="OpenSymbol" w:cs="OpenSymbol"/>
    </w:rPr>
  </w:style>
  <w:style w:type="character" w:styleId="ListLabel26">
    <w:name w:val="ListLabel 26"/>
    <w:qFormat/>
    <w:rPr>
      <w:rFonts w:eastAsia="OpenSymbol" w:cs="OpenSymbol"/>
    </w:rPr>
  </w:style>
  <w:style w:type="character" w:styleId="ListLabel27">
    <w:name w:val="ListLabel 27"/>
    <w:qFormat/>
    <w:rPr>
      <w:rFonts w:eastAsia="OpenSymbol" w:cs="OpenSymbol"/>
    </w:rPr>
  </w:style>
  <w:style w:type="character" w:styleId="ListLabel28">
    <w:name w:val="ListLabel 28"/>
    <w:qFormat/>
    <w:rPr>
      <w:rFonts w:eastAsia="OpenSymbol" w:cs="OpenSymbol"/>
    </w:rPr>
  </w:style>
  <w:style w:type="character" w:styleId="ListLabel29">
    <w:name w:val="ListLabel 29"/>
    <w:qFormat/>
    <w:rPr>
      <w:rFonts w:eastAsia="OpenSymbol" w:cs="OpenSymbol"/>
    </w:rPr>
  </w:style>
  <w:style w:type="character" w:styleId="ListLabel30">
    <w:name w:val="ListLabel 30"/>
    <w:qFormat/>
    <w:rPr>
      <w:rFonts w:eastAsia="OpenSymbol" w:cs="OpenSymbol"/>
    </w:rPr>
  </w:style>
  <w:style w:type="character" w:styleId="ListLabel31">
    <w:name w:val="ListLabel 31"/>
    <w:qFormat/>
    <w:rPr>
      <w:rFonts w:eastAsia="OpenSymbol" w:cs="OpenSymbol"/>
    </w:rPr>
  </w:style>
  <w:style w:type="character" w:styleId="ListLabel32">
    <w:name w:val="ListLabel 32"/>
    <w:qFormat/>
    <w:rPr>
      <w:rFonts w:eastAsia="OpenSymbol" w:cs="OpenSymbol"/>
    </w:rPr>
  </w:style>
  <w:style w:type="character" w:styleId="ListLabel33">
    <w:name w:val="ListLabel 33"/>
    <w:qFormat/>
    <w:rPr>
      <w:rFonts w:eastAsia="OpenSymbol" w:cs="OpenSymbol"/>
    </w:rPr>
  </w:style>
  <w:style w:type="character" w:styleId="ListLabel34">
    <w:name w:val="ListLabel 34"/>
    <w:qFormat/>
    <w:rPr>
      <w:rFonts w:eastAsia="OpenSymbol" w:cs="OpenSymbol"/>
    </w:rPr>
  </w:style>
  <w:style w:type="character" w:styleId="ListLabel35">
    <w:name w:val="ListLabel 35"/>
    <w:qFormat/>
    <w:rPr>
      <w:rFonts w:eastAsia="OpenSymbol" w:cs="OpenSymbol"/>
    </w:rPr>
  </w:style>
  <w:style w:type="character" w:styleId="ListLabel36">
    <w:name w:val="ListLabel 36"/>
    <w:qFormat/>
    <w:rPr>
      <w:rFonts w:eastAsia="OpenSymbol" w:cs="OpenSymbol"/>
    </w:rPr>
  </w:style>
  <w:style w:type="character" w:styleId="ListLabel37">
    <w:name w:val="ListLabel 37"/>
    <w:qFormat/>
    <w:rPr>
      <w:rFonts w:eastAsia="OpenSymbol" w:cs="OpenSymbol"/>
    </w:rPr>
  </w:style>
  <w:style w:type="character" w:styleId="ListLabel38">
    <w:name w:val="ListLabel 38"/>
    <w:qFormat/>
    <w:rPr>
      <w:rFonts w:eastAsia="OpenSymbol" w:cs="OpenSymbol"/>
    </w:rPr>
  </w:style>
  <w:style w:type="character" w:styleId="ListLabel39">
    <w:name w:val="ListLabel 39"/>
    <w:qFormat/>
    <w:rPr>
      <w:rFonts w:eastAsia="OpenSymbol" w:cs="OpenSymbol"/>
    </w:rPr>
  </w:style>
  <w:style w:type="character" w:styleId="ListLabel40">
    <w:name w:val="ListLabel 40"/>
    <w:qFormat/>
    <w:rPr>
      <w:rFonts w:eastAsia="OpenSymbol" w:cs="OpenSymbol"/>
    </w:rPr>
  </w:style>
  <w:style w:type="character" w:styleId="ListLabel41">
    <w:name w:val="ListLabel 41"/>
    <w:qFormat/>
    <w:rPr>
      <w:rFonts w:eastAsia="OpenSymbol" w:cs="OpenSymbol"/>
    </w:rPr>
  </w:style>
  <w:style w:type="character" w:styleId="ListLabel42">
    <w:name w:val="ListLabel 42"/>
    <w:qFormat/>
    <w:rPr>
      <w:rFonts w:eastAsia="OpenSymbol" w:cs="OpenSymbol"/>
    </w:rPr>
  </w:style>
  <w:style w:type="character" w:styleId="ListLabel43">
    <w:name w:val="ListLabel 43"/>
    <w:qFormat/>
    <w:rPr>
      <w:rFonts w:eastAsia="OpenSymbol" w:cs="OpenSymbol"/>
    </w:rPr>
  </w:style>
  <w:style w:type="character" w:styleId="ListLabel44">
    <w:name w:val="ListLabel 44"/>
    <w:qFormat/>
    <w:rPr>
      <w:rFonts w:eastAsia="OpenSymbol" w:cs="OpenSymbol"/>
    </w:rPr>
  </w:style>
  <w:style w:type="character" w:styleId="ListLabel45">
    <w:name w:val="ListLabel 45"/>
    <w:qFormat/>
    <w:rPr>
      <w:rFonts w:eastAsia="OpenSymbol" w:cs="OpenSymbol"/>
    </w:rPr>
  </w:style>
  <w:style w:type="character" w:styleId="ListLabel46">
    <w:name w:val="ListLabel 46"/>
    <w:qFormat/>
    <w:rPr>
      <w:rFonts w:eastAsia="OpenSymbol" w:cs="OpenSymbol"/>
    </w:rPr>
  </w:style>
  <w:style w:type="character" w:styleId="ListLabel47">
    <w:name w:val="ListLabel 47"/>
    <w:qFormat/>
    <w:rPr>
      <w:rFonts w:eastAsia="OpenSymbol" w:cs="OpenSymbol"/>
    </w:rPr>
  </w:style>
  <w:style w:type="character" w:styleId="ListLabel48">
    <w:name w:val="ListLabel 48"/>
    <w:qFormat/>
    <w:rPr>
      <w:rFonts w:eastAsia="OpenSymbol" w:cs="OpenSymbol"/>
    </w:rPr>
  </w:style>
  <w:style w:type="character" w:styleId="ListLabel49">
    <w:name w:val="ListLabel 49"/>
    <w:qFormat/>
    <w:rPr>
      <w:rFonts w:eastAsia="OpenSymbol" w:cs="OpenSymbol"/>
    </w:rPr>
  </w:style>
  <w:style w:type="character" w:styleId="ListLabel50">
    <w:name w:val="ListLabel 50"/>
    <w:qFormat/>
    <w:rPr>
      <w:rFonts w:eastAsia="OpenSymbol" w:cs="OpenSymbol"/>
    </w:rPr>
  </w:style>
  <w:style w:type="character" w:styleId="ListLabel51">
    <w:name w:val="ListLabel 51"/>
    <w:qFormat/>
    <w:rPr>
      <w:rFonts w:eastAsia="OpenSymbol" w:cs="OpenSymbol"/>
    </w:rPr>
  </w:style>
  <w:style w:type="character" w:styleId="ListLabel52">
    <w:name w:val="ListLabel 52"/>
    <w:qFormat/>
    <w:rPr>
      <w:rFonts w:eastAsia="OpenSymbol" w:cs="OpenSymbol"/>
    </w:rPr>
  </w:style>
  <w:style w:type="character" w:styleId="ListLabel53">
    <w:name w:val="ListLabel 53"/>
    <w:qFormat/>
    <w:rPr>
      <w:rFonts w:eastAsia="OpenSymbol" w:cs="OpenSymbol"/>
    </w:rPr>
  </w:style>
  <w:style w:type="character" w:styleId="ListLabel54">
    <w:name w:val="ListLabel 54"/>
    <w:qFormat/>
    <w:rPr>
      <w:rFonts w:eastAsia="OpenSymbol" w:cs="OpenSymbol"/>
    </w:rPr>
  </w:style>
  <w:style w:type="character" w:styleId="ListLabel55">
    <w:name w:val="ListLabel 55"/>
    <w:qFormat/>
    <w:rPr>
      <w:rFonts w:ascii="Garamond" w:hAnsi="Garamond" w:cs="Times New Roman"/>
      <w:b/>
      <w:i w:val="false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sz w:val="16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sz w:val="16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Times New Roman"/>
      <w:b/>
      <w:i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Caratteredellanota">
    <w:name w:val="Carattere della nota"/>
    <w:qFormat/>
    <w:rPr/>
  </w:style>
  <w:style w:type="character" w:styleId="Carpredefinitoparagrafo">
    <w:name w:val="Car. predefinito paragrafo"/>
    <w:qFormat/>
    <w:rPr/>
  </w:style>
  <w:style w:type="character" w:styleId="ListLabel81">
    <w:name w:val="ListLabel 81"/>
    <w:qFormat/>
    <w:rPr>
      <w:rFonts w:ascii="Garamond" w:hAnsi="Garamond" w:cs="Symbol"/>
    </w:rPr>
  </w:style>
  <w:style w:type="character" w:styleId="ListLabel82">
    <w:name w:val="ListLabel 82"/>
    <w:qFormat/>
    <w:rPr>
      <w:rFonts w:ascii="Garamond" w:hAnsi="Garamond" w:cs="Garamond"/>
      <w:b/>
      <w:i w:val="false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Garamond" w:hAnsi="Garamond" w:cs="Symbol"/>
    </w:rPr>
  </w:style>
  <w:style w:type="character" w:styleId="ListLabel92">
    <w:name w:val="ListLabel 92"/>
    <w:qFormat/>
    <w:rPr>
      <w:rFonts w:ascii="Garamond" w:hAnsi="Garamond" w:cs="Garamond"/>
      <w:b/>
      <w:i w:val="false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Garamond" w:hAnsi="Garamond" w:cs="Symbol"/>
    </w:rPr>
  </w:style>
  <w:style w:type="character" w:styleId="ListLabel102">
    <w:name w:val="ListLabel 102"/>
    <w:qFormat/>
    <w:rPr>
      <w:rFonts w:ascii="Garamond" w:hAnsi="Garamond" w:cs="Symbol"/>
    </w:rPr>
  </w:style>
  <w:style w:type="character" w:styleId="ListLabel103">
    <w:name w:val="ListLabel 103"/>
    <w:qFormat/>
    <w:rPr>
      <w:rFonts w:ascii="Garamond" w:hAnsi="Garamond"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WWCharLFO17LVL1">
    <w:name w:val="WW_CharLFO17LVL1"/>
    <w:qFormat/>
    <w:rPr>
      <w:rFonts w:ascii="Wingdings" w:hAnsi="Wingdings"/>
      <w:sz w:val="24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ascii="Verdana" w:hAnsi="Verdana"/>
      <w:b/>
      <w:bCs/>
      <w:i w:val="false"/>
      <w:sz w:val="28"/>
      <w:szCs w:val="28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character" w:styleId="WWCharLFO19LVL1">
    <w:name w:val="WW_CharLFO19LVL1"/>
    <w:qFormat/>
    <w:rPr>
      <w:rFonts w:ascii="Courier New" w:hAnsi="Courier New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  <w:sz w:val="24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Courier New"/>
      <w:b/>
      <w:bCs/>
      <w:i w:val="false"/>
      <w:sz w:val="28"/>
      <w:szCs w:val="28"/>
    </w:rPr>
  </w:style>
  <w:style w:type="character" w:styleId="ListLabel112">
    <w:name w:val="ListLabel 112"/>
    <w:qFormat/>
    <w:rPr>
      <w:rFonts w:ascii="Times New Roman" w:hAnsi="Times New Roman" w:cs="Symbol"/>
      <w:sz w:val="24"/>
    </w:rPr>
  </w:style>
  <w:style w:type="character" w:styleId="ListLabel113">
    <w:name w:val="ListLabel 113"/>
    <w:qFormat/>
    <w:rPr>
      <w:rFonts w:ascii="Times New Roman" w:hAnsi="Times New Roman" w:cs="Courier New"/>
      <w:sz w:val="24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ascii="Times New Roman" w:hAnsi="Times New Roman" w:cs="Courier New"/>
      <w:sz w:val="24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ascii="Times New Roman" w:hAnsi="Times New Roman" w:cs="Symbol"/>
      <w:sz w:val="24"/>
    </w:rPr>
  </w:style>
  <w:style w:type="character" w:styleId="ListLabel141">
    <w:name w:val="ListLabel 141"/>
    <w:qFormat/>
    <w:rPr>
      <w:rFonts w:ascii="Times New Roman" w:hAnsi="Times New Roman" w:cs="Courier New"/>
      <w:sz w:val="24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ascii="Times New Roman" w:hAnsi="Times New Roman" w:cs="Courier New"/>
      <w:sz w:val="24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cs="Courier New"/>
      <w:sz w:val="24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  <w:b/>
      <w:bCs/>
      <w:i w:val="false"/>
      <w:sz w:val="24"/>
      <w:szCs w:val="28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Courier New"/>
      <w:sz w:val="24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  <w:b/>
      <w:bCs/>
      <w:i w:val="false"/>
      <w:sz w:val="24"/>
      <w:szCs w:val="28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cs="Courier New"/>
      <w:sz w:val="24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  <w:b/>
      <w:bCs/>
      <w:i w:val="false"/>
      <w:sz w:val="24"/>
      <w:szCs w:val="28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Courier New"/>
      <w:sz w:val="24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  <w:b/>
      <w:bCs/>
      <w:i w:val="false"/>
      <w:sz w:val="24"/>
      <w:szCs w:val="28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cs="Symbol"/>
      <w:sz w:val="24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Symbol"/>
      <w:sz w:val="24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Symbol"/>
      <w:sz w:val="24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Symbol"/>
      <w:sz w:val="24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Symbol"/>
      <w:sz w:val="24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OpenSymbol"/>
    </w:rPr>
  </w:style>
  <w:style w:type="character" w:styleId="ListLabel863">
    <w:name w:val="ListLabel 863"/>
    <w:qFormat/>
    <w:rPr>
      <w:rFonts w:cs="Symbol"/>
    </w:rPr>
  </w:style>
  <w:style w:type="character" w:styleId="ListLabel862">
    <w:name w:val="ListLabel 862"/>
    <w:qFormat/>
    <w:rPr>
      <w:rFonts w:cs="OpenSymbol"/>
    </w:rPr>
  </w:style>
  <w:style w:type="character" w:styleId="ListLabel864">
    <w:name w:val="ListLabel 864"/>
    <w:qFormat/>
    <w:rPr>
      <w:rFonts w:cs="Symbol"/>
      <w:b w:val="false"/>
      <w:sz w:val="24"/>
    </w:rPr>
  </w:style>
  <w:style w:type="character" w:styleId="ListLabel865">
    <w:name w:val="ListLabel 865"/>
    <w:qFormat/>
    <w:rPr>
      <w:rFonts w:cs="Symbol"/>
      <w:b w:val="false"/>
      <w:sz w:val="24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Symbol"/>
      <w:b w:val="false"/>
      <w:sz w:val="24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Symbol"/>
      <w:b w:val="false"/>
      <w:sz w:val="24"/>
    </w:rPr>
  </w:style>
  <w:style w:type="character" w:styleId="ListLabel870">
    <w:name w:val="ListLabel 870"/>
    <w:qFormat/>
    <w:rPr>
      <w:rFonts w:cs="OpenSymbol"/>
    </w:rPr>
  </w:style>
  <w:style w:type="character" w:styleId="ListLabel1075">
    <w:name w:val="ListLabel 1075"/>
    <w:qFormat/>
    <w:rPr>
      <w:rFonts w:cs="Segoe UI"/>
      <w:sz w:val="24"/>
    </w:rPr>
  </w:style>
  <w:style w:type="character" w:styleId="ListLabel1074">
    <w:name w:val="ListLabel 1074"/>
    <w:qFormat/>
    <w:rPr>
      <w:rFonts w:cs="Segoe UI"/>
    </w:rPr>
  </w:style>
  <w:style w:type="character" w:styleId="ListLabel1069">
    <w:name w:val="ListLabel 1069"/>
    <w:qFormat/>
    <w:rPr>
      <w:rFonts w:cs="Symbol"/>
      <w:sz w:val="24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Symbol"/>
      <w:b w:val="false"/>
      <w:sz w:val="24"/>
    </w:rPr>
  </w:style>
  <w:style w:type="character" w:styleId="ListLabel1076">
    <w:name w:val="ListLabel 1076"/>
    <w:qFormat/>
    <w:rPr>
      <w:rFonts w:cs="Symbol"/>
      <w:b w:val="false"/>
      <w:sz w:val="24"/>
    </w:rPr>
  </w:style>
  <w:style w:type="character" w:styleId="ListLabel1077">
    <w:name w:val="ListLabel 1077"/>
    <w:qFormat/>
    <w:rPr>
      <w:rFonts w:cs="OpenSymbol"/>
    </w:rPr>
  </w:style>
  <w:style w:type="character" w:styleId="ListLabel1078">
    <w:name w:val="ListLabel 1078"/>
    <w:qFormat/>
    <w:rPr>
      <w:rFonts w:cs="Segoe UI"/>
      <w:sz w:val="24"/>
    </w:rPr>
  </w:style>
  <w:style w:type="character" w:styleId="ListLabel1079">
    <w:name w:val="ListLabel 1079"/>
    <w:qFormat/>
    <w:rPr>
      <w:rFonts w:cs="Segoe UI"/>
    </w:rPr>
  </w:style>
  <w:style w:type="character" w:styleId="ListLabel1080">
    <w:name w:val="ListLabel 1080"/>
    <w:qFormat/>
    <w:rPr>
      <w:rFonts w:cs="Symbol"/>
      <w:sz w:val="24"/>
    </w:rPr>
  </w:style>
  <w:style w:type="character" w:styleId="ListLabel1081">
    <w:name w:val="ListLabel 1081"/>
    <w:qFormat/>
    <w:rPr>
      <w:rFonts w:cs="Symbol"/>
      <w:b w:val="false"/>
      <w:sz w:val="24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Segoe UI"/>
      <w:sz w:val="24"/>
    </w:rPr>
  </w:style>
  <w:style w:type="character" w:styleId="ListLabel1084">
    <w:name w:val="ListLabel 1084"/>
    <w:qFormat/>
    <w:rPr>
      <w:rFonts w:cs="Segoe UI"/>
    </w:rPr>
  </w:style>
  <w:style w:type="character" w:styleId="ListLabel1085">
    <w:name w:val="ListLabel 1085"/>
    <w:qFormat/>
    <w:rPr>
      <w:rFonts w:cs="Symbol"/>
      <w:sz w:val="24"/>
    </w:rPr>
  </w:style>
  <w:style w:type="character" w:styleId="Enfasiforte">
    <w:name w:val="Enfasi forte"/>
    <w:qFormat/>
    <w:basedOn w:val="Carpredefinitoparagrafo"/>
    <w:rPr>
      <w:b/>
      <w:bCs/>
    </w:rPr>
  </w:style>
  <w:style w:type="character" w:styleId="ListLabel1086">
    <w:name w:val="ListLabel 1086"/>
    <w:qFormat/>
    <w:rPr>
      <w:rFonts w:cs="Symbol"/>
      <w:b w:val="false"/>
      <w:sz w:val="24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rFonts w:cs="Segoe UI"/>
      <w:sz w:val="24"/>
    </w:rPr>
  </w:style>
  <w:style w:type="character" w:styleId="ListLabel1089">
    <w:name w:val="ListLabel 1089"/>
    <w:qFormat/>
    <w:rPr>
      <w:rFonts w:cs="Segoe UI"/>
    </w:rPr>
  </w:style>
  <w:style w:type="character" w:styleId="ListLabel1090">
    <w:name w:val="ListLabel 1090"/>
    <w:qFormat/>
    <w:rPr>
      <w:rFonts w:cs="Symbol"/>
      <w:sz w:val="24"/>
    </w:rPr>
  </w:style>
  <w:style w:type="character" w:styleId="ListLabel1091">
    <w:name w:val="ListLabel 1091"/>
    <w:qFormat/>
    <w:rPr>
      <w:rFonts w:cs="Symbol"/>
      <w:b w:val="false"/>
      <w:sz w:val="24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Segoe UI"/>
      <w:sz w:val="24"/>
    </w:rPr>
  </w:style>
  <w:style w:type="character" w:styleId="ListLabel1094">
    <w:name w:val="ListLabel 1094"/>
    <w:qFormat/>
    <w:rPr>
      <w:rFonts w:cs="Segoe UI"/>
    </w:rPr>
  </w:style>
  <w:style w:type="character" w:styleId="ListLabel1095">
    <w:name w:val="ListLabel 1095"/>
    <w:qFormat/>
    <w:rPr>
      <w:rFonts w:cs="Symbol"/>
      <w:sz w:val="24"/>
    </w:rPr>
  </w:style>
  <w:style w:type="character" w:styleId="ListLabel1096">
    <w:name w:val="ListLabel 1096"/>
    <w:qFormat/>
    <w:rPr>
      <w:rFonts w:cs="Symbol"/>
      <w:b w:val="false"/>
      <w:sz w:val="24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cs="Segoe UI"/>
      <w:sz w:val="24"/>
    </w:rPr>
  </w:style>
  <w:style w:type="character" w:styleId="ListLabel1099">
    <w:name w:val="ListLabel 1099"/>
    <w:qFormat/>
    <w:rPr>
      <w:rFonts w:cs="Segoe UI"/>
    </w:rPr>
  </w:style>
  <w:style w:type="character" w:styleId="ListLabel1100">
    <w:name w:val="ListLabel 1100"/>
    <w:qFormat/>
    <w:rPr>
      <w:rFonts w:cs="Symbol"/>
      <w:sz w:val="24"/>
    </w:rPr>
  </w:style>
  <w:style w:type="character" w:styleId="ListLabel1517">
    <w:name w:val="ListLabel 1517"/>
    <w:qFormat/>
    <w:rPr>
      <w:rFonts w:cs="Symbol"/>
    </w:rPr>
  </w:style>
  <w:style w:type="character" w:styleId="ListLabel1510">
    <w:name w:val="ListLabel 1510"/>
    <w:qFormat/>
    <w:rPr>
      <w:rFonts w:cs="OpenSymbol"/>
    </w:rPr>
  </w:style>
  <w:style w:type="character" w:styleId="ListLabel1518">
    <w:name w:val="ListLabel 1518"/>
    <w:qFormat/>
    <w:rPr>
      <w:rFonts w:cs="Symbol"/>
      <w:b w:val="false"/>
      <w:sz w:val="21"/>
    </w:rPr>
  </w:style>
  <w:style w:type="character" w:styleId="ListLabel1519">
    <w:name w:val="ListLabel 1519"/>
    <w:qFormat/>
    <w:rPr>
      <w:rFonts w:cs="Symbol"/>
      <w:b w:val="false"/>
      <w:sz w:val="21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Symbol"/>
      <w:b w:val="false"/>
      <w:sz w:val="24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Symbol"/>
      <w:b w:val="false"/>
      <w:sz w:val="24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Segoe UI"/>
      <w:sz w:val="21"/>
    </w:rPr>
  </w:style>
  <w:style w:type="character" w:styleId="ListLabel1529">
    <w:name w:val="ListLabel 1529"/>
    <w:qFormat/>
    <w:rPr>
      <w:rFonts w:cs="Segoe UI"/>
    </w:rPr>
  </w:style>
  <w:style w:type="character" w:styleId="ListLabel1530">
    <w:name w:val="ListLabel 1530"/>
    <w:qFormat/>
    <w:rPr>
      <w:rFonts w:cs="Segoe UI"/>
    </w:rPr>
  </w:style>
  <w:style w:type="character" w:styleId="ListLabel1531">
    <w:name w:val="ListLabel 1531"/>
    <w:qFormat/>
    <w:rPr>
      <w:rFonts w:cs="Segoe UI"/>
    </w:rPr>
  </w:style>
  <w:style w:type="character" w:styleId="ListLabel1532">
    <w:name w:val="ListLabel 1532"/>
    <w:qFormat/>
    <w:rPr>
      <w:rFonts w:cs="Segoe UI"/>
    </w:rPr>
  </w:style>
  <w:style w:type="character" w:styleId="ListLabel1533">
    <w:name w:val="ListLabel 1533"/>
    <w:qFormat/>
    <w:rPr>
      <w:rFonts w:cs="Segoe UI"/>
    </w:rPr>
  </w:style>
  <w:style w:type="character" w:styleId="ListLabel1534">
    <w:name w:val="ListLabel 1534"/>
    <w:qFormat/>
    <w:rPr>
      <w:rFonts w:cs="Segoe UI"/>
    </w:rPr>
  </w:style>
  <w:style w:type="character" w:styleId="ListLabel1535">
    <w:name w:val="ListLabel 1535"/>
    <w:qFormat/>
    <w:rPr>
      <w:rFonts w:cs="Segoe UI"/>
    </w:rPr>
  </w:style>
  <w:style w:type="character" w:styleId="ListLabel1536">
    <w:name w:val="ListLabel 1536"/>
    <w:qFormat/>
    <w:rPr>
      <w:rFonts w:cs="Segoe UI"/>
    </w:rPr>
  </w:style>
  <w:style w:type="character" w:styleId="ListLabel1537">
    <w:name w:val="ListLabel 1537"/>
    <w:qFormat/>
    <w:rPr>
      <w:rFonts w:cs="Symbol"/>
      <w:sz w:val="21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Symbol"/>
      <w:b w:val="false"/>
      <w:sz w:val="24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Symbol"/>
      <w:b w:val="false"/>
      <w:sz w:val="24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Symbol"/>
      <w:sz w:val="21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Symbol"/>
      <w:b w:val="false"/>
      <w:sz w:val="24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Symbol"/>
      <w:b w:val="false"/>
      <w:sz w:val="24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Symbol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Symbol"/>
    </w:rPr>
  </w:style>
  <w:style w:type="character" w:styleId="ListLabel1559">
    <w:name w:val="ListLabel 1559"/>
    <w:qFormat/>
    <w:rPr>
      <w:rFonts w:cs="OpenSymbol"/>
      <w:sz w:val="22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Symbol"/>
      <w:b w:val="false"/>
      <w:sz w:val="21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Symbol"/>
      <w:b w:val="false"/>
      <w:sz w:val="24"/>
    </w:rPr>
  </w:style>
  <w:style w:type="character" w:styleId="ListLabel1567">
    <w:name w:val="ListLabel 1567"/>
    <w:qFormat/>
    <w:rPr>
      <w:rFonts w:cs="Segoe UI"/>
      <w:sz w:val="21"/>
    </w:rPr>
  </w:style>
  <w:style w:type="character" w:styleId="ListLabel1568">
    <w:name w:val="ListLabel 1568"/>
    <w:qFormat/>
    <w:rPr>
      <w:rFonts w:cs="Segoe UI"/>
    </w:rPr>
  </w:style>
  <w:style w:type="character" w:styleId="ListLabel1569">
    <w:name w:val="ListLabel 1569"/>
    <w:qFormat/>
    <w:rPr>
      <w:rFonts w:cs="Symbol"/>
      <w:sz w:val="21"/>
    </w:rPr>
  </w:style>
  <w:style w:type="character" w:styleId="ListLabel1570">
    <w:name w:val="ListLabel 1570"/>
    <w:qFormat/>
    <w:rPr>
      <w:rFonts w:cs="Symbol"/>
    </w:rPr>
  </w:style>
  <w:style w:type="character" w:styleId="ListLabel1571">
    <w:name w:val="ListLabel 1571"/>
    <w:qFormat/>
    <w:rPr>
      <w:rFonts w:cs="OpenSymbol"/>
      <w:sz w:val="22"/>
    </w:rPr>
  </w:style>
  <w:style w:type="character" w:styleId="ListLabel1572">
    <w:name w:val="ListLabel 1572"/>
    <w:qFormat/>
    <w:rPr>
      <w:rFonts w:cs="Symbol"/>
      <w:b w:val="false"/>
      <w:sz w:val="21"/>
    </w:rPr>
  </w:style>
  <w:style w:type="character" w:styleId="ListLabel1573">
    <w:name w:val="ListLabel 1573"/>
    <w:qFormat/>
    <w:rPr>
      <w:rFonts w:cs="OpenSymbol"/>
    </w:rPr>
  </w:style>
  <w:style w:type="character" w:styleId="ListLabel1574">
    <w:name w:val="ListLabel 1574"/>
    <w:qFormat/>
    <w:rPr>
      <w:rFonts w:cs="Symbol"/>
      <w:b w:val="false"/>
      <w:sz w:val="24"/>
    </w:rPr>
  </w:style>
  <w:style w:type="character" w:styleId="ListLabel1575">
    <w:name w:val="ListLabel 1575"/>
    <w:qFormat/>
    <w:rPr>
      <w:rFonts w:cs="Segoe UI"/>
      <w:sz w:val="21"/>
    </w:rPr>
  </w:style>
  <w:style w:type="character" w:styleId="ListLabel1576">
    <w:name w:val="ListLabel 1576"/>
    <w:qFormat/>
    <w:rPr>
      <w:rFonts w:cs="Segoe UI"/>
    </w:rPr>
  </w:style>
  <w:style w:type="character" w:styleId="ListLabel1577">
    <w:name w:val="ListLabel 1577"/>
    <w:qFormat/>
    <w:rPr>
      <w:rFonts w:cs="Symbol"/>
      <w:sz w:val="21"/>
    </w:rPr>
  </w:style>
  <w:style w:type="character" w:styleId="ListLabel1578">
    <w:name w:val="ListLabel 1578"/>
    <w:qFormat/>
    <w:rPr>
      <w:rFonts w:cs="Symbol"/>
    </w:rPr>
  </w:style>
  <w:style w:type="character" w:styleId="ListLabel1579">
    <w:name w:val="ListLabel 1579"/>
    <w:qFormat/>
    <w:rPr>
      <w:rFonts w:cs="OpenSymbol"/>
      <w:sz w:val="22"/>
    </w:rPr>
  </w:style>
  <w:style w:type="character" w:styleId="ListLabel1580">
    <w:name w:val="ListLabel 1580"/>
    <w:qFormat/>
    <w:rPr>
      <w:rFonts w:cs="Symbol"/>
      <w:b w:val="false"/>
      <w:sz w:val="21"/>
    </w:rPr>
  </w:style>
  <w:style w:type="character" w:styleId="ListLabel1581">
    <w:name w:val="ListLabel 1581"/>
    <w:qFormat/>
    <w:rPr>
      <w:rFonts w:cs="Symbol"/>
      <w:b w:val="false"/>
      <w:sz w:val="21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Symbol"/>
      <w:b w:val="false"/>
      <w:sz w:val="24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Symbol"/>
      <w:b w:val="false"/>
      <w:sz w:val="24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Segoe UI"/>
      <w:sz w:val="21"/>
    </w:rPr>
  </w:style>
  <w:style w:type="character" w:styleId="ListLabel1591">
    <w:name w:val="ListLabel 1591"/>
    <w:qFormat/>
    <w:rPr>
      <w:rFonts w:cs="Segoe UI"/>
    </w:rPr>
  </w:style>
  <w:style w:type="character" w:styleId="ListLabel1592">
    <w:name w:val="ListLabel 1592"/>
    <w:qFormat/>
    <w:rPr>
      <w:rFonts w:cs="Segoe UI"/>
    </w:rPr>
  </w:style>
  <w:style w:type="character" w:styleId="ListLabel1593">
    <w:name w:val="ListLabel 1593"/>
    <w:qFormat/>
    <w:rPr>
      <w:rFonts w:cs="Segoe UI"/>
    </w:rPr>
  </w:style>
  <w:style w:type="character" w:styleId="ListLabel1594">
    <w:name w:val="ListLabel 1594"/>
    <w:qFormat/>
    <w:rPr>
      <w:rFonts w:cs="Segoe UI"/>
    </w:rPr>
  </w:style>
  <w:style w:type="character" w:styleId="ListLabel1595">
    <w:name w:val="ListLabel 1595"/>
    <w:qFormat/>
    <w:rPr>
      <w:rFonts w:cs="Segoe UI"/>
    </w:rPr>
  </w:style>
  <w:style w:type="character" w:styleId="ListLabel1596">
    <w:name w:val="ListLabel 1596"/>
    <w:qFormat/>
    <w:rPr>
      <w:rFonts w:cs="Segoe UI"/>
    </w:rPr>
  </w:style>
  <w:style w:type="character" w:styleId="ListLabel1597">
    <w:name w:val="ListLabel 1597"/>
    <w:qFormat/>
    <w:rPr>
      <w:rFonts w:cs="Segoe UI"/>
    </w:rPr>
  </w:style>
  <w:style w:type="character" w:styleId="ListLabel1598">
    <w:name w:val="ListLabel 1598"/>
    <w:qFormat/>
    <w:rPr>
      <w:rFonts w:cs="Segoe UI"/>
    </w:rPr>
  </w:style>
  <w:style w:type="character" w:styleId="ListLabel1599">
    <w:name w:val="ListLabel 1599"/>
    <w:qFormat/>
    <w:rPr>
      <w:rFonts w:cs="Symbol"/>
      <w:sz w:val="21"/>
    </w:rPr>
  </w:style>
  <w:style w:type="character" w:styleId="ListLabel1600">
    <w:name w:val="ListLabel 1600"/>
    <w:qFormat/>
    <w:rPr>
      <w:rFonts w:cs="OpenSymbol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Symbol"/>
      <w:b w:val="false"/>
      <w:sz w:val="24"/>
    </w:rPr>
  </w:style>
  <w:style w:type="character" w:styleId="ListLabel1603">
    <w:name w:val="ListLabel 1603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Symbol"/>
      <w:b w:val="false"/>
      <w:sz w:val="24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Symbol"/>
      <w:sz w:val="21"/>
    </w:rPr>
  </w:style>
  <w:style w:type="character" w:styleId="ListLabel1609">
    <w:name w:val="ListLabel 1609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Symbol"/>
      <w:b w:val="false"/>
      <w:sz w:val="24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Symbol"/>
      <w:b w:val="false"/>
      <w:sz w:val="24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Symbol"/>
    </w:rPr>
  </w:style>
  <w:style w:type="character" w:styleId="ListLabel1621">
    <w:name w:val="ListLabel 1621"/>
    <w:qFormat/>
    <w:rPr>
      <w:rFonts w:cs="OpenSymbol"/>
      <w:sz w:val="22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Symbol"/>
    </w:rPr>
  </w:style>
  <w:style w:type="character" w:styleId="ListLabel1624">
    <w:name w:val="ListLabel 1624"/>
    <w:qFormat/>
    <w:rPr>
      <w:rFonts w:cs="Open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rPr>
      <w:rFonts w:cs="Symbol"/>
      <w:b w:val="false"/>
      <w:sz w:val="21"/>
    </w:rPr>
  </w:style>
  <w:style w:type="character" w:styleId="ListLabel1627">
    <w:name w:val="ListLabel 1627"/>
    <w:rPr>
      <w:rFonts w:cs="OpenSymbol"/>
    </w:rPr>
  </w:style>
  <w:style w:type="character" w:styleId="ListLabel1628">
    <w:name w:val="ListLabel 1628"/>
    <w:rPr>
      <w:rFonts w:cs="Symbol"/>
      <w:b w:val="false"/>
      <w:sz w:val="24"/>
    </w:rPr>
  </w:style>
  <w:style w:type="character" w:styleId="ListLabel1629">
    <w:name w:val="ListLabel 1629"/>
    <w:rPr>
      <w:rFonts w:cs="Segoe UI"/>
      <w:sz w:val="21"/>
    </w:rPr>
  </w:style>
  <w:style w:type="character" w:styleId="ListLabel1630">
    <w:name w:val="ListLabel 1630"/>
    <w:rPr>
      <w:rFonts w:cs="Segoe UI"/>
    </w:rPr>
  </w:style>
  <w:style w:type="character" w:styleId="ListLabel1631">
    <w:name w:val="ListLabel 1631"/>
    <w:rPr>
      <w:rFonts w:cs="Symbol"/>
      <w:sz w:val="21"/>
    </w:rPr>
  </w:style>
  <w:style w:type="character" w:styleId="ListLabel1632">
    <w:name w:val="ListLabel 1632"/>
    <w:rPr>
      <w:rFonts w:cs="Symbol"/>
      <w:b w:val="false"/>
      <w:sz w:val="21"/>
    </w:rPr>
  </w:style>
  <w:style w:type="character" w:styleId="ListLabel1633">
    <w:name w:val="ListLabel 1633"/>
    <w:rPr>
      <w:rFonts w:cs="OpenSymbol"/>
    </w:rPr>
  </w:style>
  <w:style w:type="character" w:styleId="ListLabel1634">
    <w:name w:val="ListLabel 1634"/>
    <w:rPr>
      <w:rFonts w:cs="Symbol"/>
      <w:b w:val="false"/>
      <w:sz w:val="24"/>
    </w:rPr>
  </w:style>
  <w:style w:type="character" w:styleId="ListLabel1635">
    <w:name w:val="ListLabel 1635"/>
    <w:rPr>
      <w:rFonts w:cs="Segoe UI"/>
      <w:sz w:val="21"/>
    </w:rPr>
  </w:style>
  <w:style w:type="character" w:styleId="ListLabel1636">
    <w:name w:val="ListLabel 1636"/>
    <w:rPr>
      <w:rFonts w:cs="Segoe UI"/>
    </w:rPr>
  </w:style>
  <w:style w:type="character" w:styleId="ListLabel1637">
    <w:name w:val="ListLabel 1637"/>
    <w:rPr>
      <w:rFonts w:cs="Symbol"/>
      <w:sz w:val="21"/>
    </w:rPr>
  </w:style>
  <w:style w:type="character" w:styleId="ListLabel1638">
    <w:name w:val="ListLabel 1638"/>
    <w:rPr>
      <w:rFonts w:cs="Symbol"/>
      <w:b w:val="false"/>
      <w:sz w:val="21"/>
    </w:rPr>
  </w:style>
  <w:style w:type="character" w:styleId="ListLabel1639">
    <w:name w:val="ListLabel 1639"/>
    <w:rPr>
      <w:rFonts w:cs="OpenSymbol"/>
    </w:rPr>
  </w:style>
  <w:style w:type="character" w:styleId="ListLabel1640">
    <w:name w:val="ListLabel 1640"/>
    <w:rPr>
      <w:rFonts w:cs="Symbol"/>
      <w:b w:val="false"/>
      <w:sz w:val="24"/>
    </w:rPr>
  </w:style>
  <w:style w:type="character" w:styleId="ListLabel1641">
    <w:name w:val="ListLabel 1641"/>
    <w:rPr>
      <w:rFonts w:cs="Segoe UI"/>
      <w:sz w:val="21"/>
    </w:rPr>
  </w:style>
  <w:style w:type="character" w:styleId="ListLabel1642">
    <w:name w:val="ListLabel 1642"/>
    <w:rPr>
      <w:rFonts w:cs="Segoe UI"/>
    </w:rPr>
  </w:style>
  <w:style w:type="character" w:styleId="ListLabel1643">
    <w:name w:val="ListLabel 1643"/>
    <w:rPr>
      <w:rFonts w:cs="Symbol"/>
      <w:sz w:val="21"/>
    </w:rPr>
  </w:style>
  <w:style w:type="character" w:styleId="ListLabel1644">
    <w:name w:val="ListLabel 1644"/>
    <w:rPr>
      <w:rFonts w:cs="Symbol"/>
      <w:b w:val="false"/>
      <w:sz w:val="21"/>
    </w:rPr>
  </w:style>
  <w:style w:type="character" w:styleId="ListLabel1645">
    <w:name w:val="ListLabel 1645"/>
    <w:rPr>
      <w:rFonts w:cs="OpenSymbol"/>
    </w:rPr>
  </w:style>
  <w:style w:type="character" w:styleId="ListLabel1646">
    <w:name w:val="ListLabel 1646"/>
    <w:rPr>
      <w:rFonts w:cs="Symbol"/>
      <w:b w:val="false"/>
      <w:sz w:val="24"/>
    </w:rPr>
  </w:style>
  <w:style w:type="character" w:styleId="ListLabel1647">
    <w:name w:val="ListLabel 1647"/>
    <w:rPr>
      <w:rFonts w:cs="Segoe UI"/>
      <w:sz w:val="21"/>
    </w:rPr>
  </w:style>
  <w:style w:type="character" w:styleId="ListLabel1648">
    <w:name w:val="ListLabel 1648"/>
    <w:rPr>
      <w:rFonts w:cs="Segoe UI"/>
    </w:rPr>
  </w:style>
  <w:style w:type="character" w:styleId="ListLabel1649">
    <w:name w:val="ListLabel 1649"/>
    <w:rPr>
      <w:rFonts w:cs="Symbol"/>
      <w:sz w:val="21"/>
    </w:rPr>
  </w:style>
  <w:style w:type="character" w:styleId="ListLabel1650">
    <w:name w:val="ListLabel 1650"/>
    <w:rPr>
      <w:rFonts w:cs="Symbol"/>
      <w:b w:val="false"/>
      <w:sz w:val="21"/>
    </w:rPr>
  </w:style>
  <w:style w:type="character" w:styleId="ListLabel1651">
    <w:name w:val="ListLabel 1651"/>
    <w:rPr>
      <w:rFonts w:cs="OpenSymbol"/>
    </w:rPr>
  </w:style>
  <w:style w:type="character" w:styleId="ListLabel1652">
    <w:name w:val="ListLabel 1652"/>
    <w:rPr>
      <w:rFonts w:cs="Symbol"/>
      <w:b w:val="false"/>
      <w:sz w:val="24"/>
    </w:rPr>
  </w:style>
  <w:style w:type="character" w:styleId="ListLabel1653">
    <w:name w:val="ListLabel 1653"/>
    <w:rPr>
      <w:rFonts w:cs="Segoe UI"/>
      <w:sz w:val="21"/>
    </w:rPr>
  </w:style>
  <w:style w:type="character" w:styleId="ListLabel1654">
    <w:name w:val="ListLabel 1654"/>
    <w:rPr>
      <w:rFonts w:cs="Segoe UI"/>
    </w:rPr>
  </w:style>
  <w:style w:type="character" w:styleId="ListLabel1655">
    <w:name w:val="ListLabel 1655"/>
    <w:rPr>
      <w:rFonts w:cs="Symbol"/>
      <w:sz w:val="21"/>
    </w:rPr>
  </w:style>
  <w:style w:type="character" w:styleId="ListLabel2271">
    <w:name w:val="ListLabel 2271"/>
    <w:rPr>
      <w:rFonts w:cs="Symbol"/>
    </w:rPr>
  </w:style>
  <w:style w:type="character" w:styleId="ListLabel2264">
    <w:name w:val="ListLabel 2264"/>
    <w:rPr>
      <w:rFonts w:cs="OpenSymbol"/>
    </w:rPr>
  </w:style>
  <w:style w:type="character" w:styleId="ListLabel2272">
    <w:name w:val="ListLabel 2272"/>
    <w:rPr>
      <w:rFonts w:cs="Symbol"/>
      <w:b w:val="false"/>
      <w:sz w:val="21"/>
    </w:rPr>
  </w:style>
  <w:style w:type="character" w:styleId="ListLabel2273">
    <w:name w:val="ListLabel 2273"/>
    <w:rPr>
      <w:rFonts w:cs="OpenSymbol"/>
    </w:rPr>
  </w:style>
  <w:style w:type="character" w:styleId="ListLabel2274">
    <w:name w:val="ListLabel 2274"/>
    <w:rPr>
      <w:rFonts w:cs="Symbol"/>
      <w:b w:val="false"/>
      <w:sz w:val="24"/>
    </w:rPr>
  </w:style>
  <w:style w:type="character" w:styleId="ListLabel2275">
    <w:name w:val="ListLabel 2275"/>
    <w:rPr>
      <w:rFonts w:cs="Segoe UI"/>
      <w:sz w:val="21"/>
    </w:rPr>
  </w:style>
  <w:style w:type="character" w:styleId="ListLabel2276">
    <w:name w:val="ListLabel 2276"/>
    <w:rPr>
      <w:rFonts w:cs="Segoe UI"/>
    </w:rPr>
  </w:style>
  <w:style w:type="character" w:styleId="ListLabel2277">
    <w:name w:val="ListLabel 2277"/>
    <w:rPr>
      <w:rFonts w:cs="Symbol"/>
      <w:sz w:val="21"/>
    </w:rPr>
  </w:style>
  <w:style w:type="character" w:styleId="ListLabel2278">
    <w:name w:val="ListLabel 2278"/>
    <w:rPr>
      <w:rFonts w:cs="Symbol"/>
    </w:rPr>
  </w:style>
  <w:style w:type="character" w:styleId="ListLabel2279">
    <w:name w:val="ListLabel 2279"/>
    <w:rPr>
      <w:rFonts w:cs="Symbol"/>
      <w:b w:val="false"/>
      <w:sz w:val="21"/>
    </w:rPr>
  </w:style>
  <w:style w:type="character" w:styleId="ListLabel2280">
    <w:name w:val="ListLabel 2280"/>
    <w:rPr>
      <w:rFonts w:cs="OpenSymbol"/>
    </w:rPr>
  </w:style>
  <w:style w:type="character" w:styleId="ListLabel2281">
    <w:name w:val="ListLabel 2281"/>
    <w:rPr>
      <w:rFonts w:cs="Symbol"/>
      <w:b w:val="false"/>
      <w:sz w:val="24"/>
    </w:rPr>
  </w:style>
  <w:style w:type="character" w:styleId="ListLabel2282">
    <w:name w:val="ListLabel 2282"/>
    <w:rPr>
      <w:rFonts w:cs="Segoe UI"/>
      <w:sz w:val="21"/>
    </w:rPr>
  </w:style>
  <w:style w:type="character" w:styleId="ListLabel2283">
    <w:name w:val="ListLabel 2283"/>
    <w:rPr>
      <w:rFonts w:cs="Segoe UI"/>
    </w:rPr>
  </w:style>
  <w:style w:type="character" w:styleId="ListLabel2284">
    <w:name w:val="ListLabel 2284"/>
    <w:rPr>
      <w:rFonts w:cs="Symbol"/>
      <w:sz w:val="21"/>
    </w:rPr>
  </w:style>
  <w:style w:type="character" w:styleId="ListLabel2285">
    <w:name w:val="ListLabel 2285"/>
    <w:rPr>
      <w:rFonts w:cs="Symbol"/>
    </w:rPr>
  </w:style>
  <w:style w:type="character" w:styleId="ListLabel2286">
    <w:name w:val="ListLabel 2286"/>
    <w:rPr>
      <w:rFonts w:cs="Symbol"/>
      <w:b w:val="false"/>
      <w:sz w:val="21"/>
    </w:rPr>
  </w:style>
  <w:style w:type="character" w:styleId="ListLabel2287">
    <w:name w:val="ListLabel 2287"/>
    <w:rPr>
      <w:rFonts w:cs="OpenSymbol"/>
    </w:rPr>
  </w:style>
  <w:style w:type="character" w:styleId="ListLabel2288">
    <w:name w:val="ListLabel 2288"/>
    <w:rPr>
      <w:rFonts w:cs="Symbol"/>
      <w:b w:val="false"/>
      <w:sz w:val="24"/>
    </w:rPr>
  </w:style>
  <w:style w:type="character" w:styleId="ListLabel2289">
    <w:name w:val="ListLabel 2289"/>
    <w:rPr>
      <w:rFonts w:cs="Segoe UI"/>
      <w:sz w:val="21"/>
    </w:rPr>
  </w:style>
  <w:style w:type="character" w:styleId="ListLabel2290">
    <w:name w:val="ListLabel 2290"/>
    <w:rPr>
      <w:rFonts w:cs="Segoe UI"/>
    </w:rPr>
  </w:style>
  <w:style w:type="character" w:styleId="ListLabel2291">
    <w:name w:val="ListLabel 2291"/>
    <w:rPr>
      <w:rFonts w:cs="Symbol"/>
      <w:sz w:val="21"/>
    </w:rPr>
  </w:style>
  <w:style w:type="character" w:styleId="ListLabel2292">
    <w:name w:val="ListLabel 2292"/>
    <w:rPr>
      <w:rFonts w:cs="Symbol"/>
    </w:rPr>
  </w:style>
  <w:style w:type="paragraph" w:styleId="Titolo" w:customStyle="1">
    <w:name w:val="Titolo"/>
    <w:qFormat/>
    <w:basedOn w:val="Normal"/>
    <w:next w:val="Corpodeltesto"/>
    <w:pPr>
      <w:keepNext/>
      <w:widowControl w:val="false"/>
      <w:bidi w:val="0"/>
      <w:spacing w:before="240" w:after="120"/>
      <w:jc w:val="center"/>
    </w:pPr>
    <w:rPr>
      <w:rFonts w:ascii="Times New Roman" w:hAnsi="Times New Roman" w:eastAsia="Times New Roman" w:cs="Times New Roman"/>
      <w:b/>
      <w:bCs/>
      <w:color w:val="00000A"/>
      <w:sz w:val="56"/>
      <w:szCs w:val="56"/>
      <w:lang w:val="it-IT" w:eastAsia="it-IT" w:bidi="ar-SA"/>
    </w:rPr>
  </w:style>
  <w:style w:type="paragraph" w:styleId="Corpodeltesto" w:customStyle="1">
    <w:name w:val="Corpo del testo"/>
    <w:qFormat/>
    <w:basedOn w:val="Normal"/>
    <w:pPr>
      <w:spacing w:lineRule="auto" w:line="288" w:before="0" w:after="140"/>
      <w:ind w:left="0" w:right="56" w:hanging="0"/>
      <w:jc w:val="both"/>
    </w:pPr>
    <w:rPr>
      <w:sz w:val="24"/>
      <w:u w:val="single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qFormat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Mangal"/>
    </w:rPr>
  </w:style>
  <w:style w:type="paragraph" w:styleId="Titolo11" w:customStyle="1">
    <w:name w:val="Titolo1"/>
    <w:qFormat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Piè di pagina"/>
    <w:uiPriority w:val="99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qFormat/>
    <w:basedOn w:val="Normal"/>
    <w:pPr/>
    <w:rPr/>
  </w:style>
  <w:style w:type="paragraph" w:styleId="Sche3" w:customStyle="1">
    <w:name w:val="sche_3"/>
    <w:qFormat/>
    <w:pPr>
      <w:widowControl w:val="false"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ar-SA"/>
    </w:rPr>
  </w:style>
  <w:style w:type="paragraph" w:styleId="NormalWeb">
    <w:name w:val="Normal (Web)"/>
    <w:qFormat/>
    <w:basedOn w:val="Normal"/>
    <w:pPr>
      <w:widowControl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qFormat/>
    <w:basedOn w:val="Normal"/>
    <w:pPr>
      <w:widowControl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qFormat/>
    <w:basedOn w:val="Normal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qFormat/>
    <w:basedOn w:val="Normal"/>
    <w:pPr/>
    <w:rPr/>
  </w:style>
  <w:style w:type="paragraph" w:styleId="Contenutotabella" w:customStyle="1">
    <w:name w:val="Contenuto tabella"/>
    <w:qFormat/>
    <w:basedOn w:val="Normal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Testocitato" w:customStyle="1">
    <w:name w:val="Testo citato"/>
    <w:qFormat/>
    <w:basedOn w:val="Normal"/>
    <w:pPr>
      <w:spacing w:before="0" w:after="283"/>
      <w:ind w:left="567" w:right="567" w:hanging="0"/>
    </w:pPr>
    <w:rPr/>
  </w:style>
  <w:style w:type="paragraph" w:styleId="Sottotitolo">
    <w:name w:val="Sottotitolo"/>
    <w:qFormat/>
    <w:basedOn w:val="Titolo11"/>
    <w:pPr>
      <w:spacing w:before="60" w:after="0"/>
      <w:jc w:val="center"/>
    </w:pPr>
    <w:rPr>
      <w:sz w:val="36"/>
      <w:szCs w:val="36"/>
    </w:rPr>
  </w:style>
  <w:style w:type="paragraph" w:styleId="Intestazione">
    <w:name w:val="Intestazion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>
    <w:name w:val="Nota a piè di pagina"/>
    <w:qFormat/>
    <w:basedOn w:val="Normal"/>
    <w:pPr>
      <w:suppressLineNumbers/>
      <w:ind w:left="283" w:right="0" w:hanging="283"/>
    </w:pPr>
    <w:rPr>
      <w:sz w:val="20"/>
    </w:rPr>
  </w:style>
  <w:style w:type="paragraph" w:styleId="Normale">
    <w:name w:val="Norma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Paragrafoelenco">
    <w:name w:val="Paragrafo elenco"/>
    <w:qFormat/>
    <w:basedOn w:val="Normale"/>
    <w:pPr>
      <w:suppressAutoHyphens w:val="true"/>
      <w:ind w:left="708" w:right="0" w:hanging="0"/>
    </w:pPr>
    <w:rPr/>
  </w:style>
  <w:style w:type="paragraph" w:styleId="Normale1">
    <w:name w:val="Normale1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Citazione">
    <w:name w:val="Citazione"/>
    <w:qFormat/>
    <w:basedOn w:val="Normal"/>
    <w:pPr/>
    <w:rPr/>
  </w:style>
  <w:style w:type="paragraph" w:styleId="Titoloprincipale">
    <w:name w:val="Titolo principale"/>
    <w:qFormat/>
    <w:basedOn w:val="Titolo"/>
    <w:pPr>
      <w:jc w:val="left"/>
    </w:pPr>
    <w:rPr/>
  </w:style>
  <w:style w:type="paragraph" w:styleId="Numerazioneperbuste">
    <w:name w:val="Numerazione per buste"/>
    <w:qFormat/>
    <w:basedOn w:val="Normal"/>
    <w:pPr>
      <w:spacing w:lineRule="auto" w:line="360" w:before="120" w:after="120"/>
      <w:jc w:val="both"/>
    </w:pPr>
    <w:rPr>
      <w:rFonts w:ascii="Times New Roman" w:hAnsi="Times New Roman" w:eastAsia="Times New Roman"/>
      <w:sz w:val="24"/>
      <w:szCs w:val="24"/>
      <w:lang w:val="it-IT" w:eastAsia="it-IT"/>
    </w:rPr>
  </w:style>
  <w:style w:type="numbering" w:styleId="NoList" w:default="1">
    <w:name w:val="No List"/>
    <w:uiPriority w:val="99"/>
    <w:qFormat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442B-1080-46B8-A612-72F7E33C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2019-05-21T09:45:46Z</dcterms:created>
  <dc:language>it-IT</dc:language>
  <cp:lastPrinted>2020-01-08T10:02:37Z</cp:lastPrinted>
  <dcterms:modified xsi:type="dcterms:W3CDTF">2020-01-08T13:21:59Z</dcterms:modified>
  <cp:revision>5</cp:revision>
  <dc:title>Dichiarazione integrativa</dc:title>
</cp:coreProperties>
</file>