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before="119" w:after="0"/>
        <w:contextualSpacing/>
        <w:jc w:val="right"/>
        <w:rPr>
          <w:b/>
          <w:sz w:val="22"/>
          <w:szCs w:val="22"/>
        </w:rPr>
      </w:pPr>
      <w:r>
        <w:rPr>
          <w:b/>
          <w:sz w:val="22"/>
          <w:szCs w:val="22"/>
        </w:rPr>
        <w:t>Centrale Unica di Committenza</w:t>
      </w:r>
    </w:p>
    <w:p>
      <w:pPr>
        <w:pStyle w:val="Normal"/>
        <w:tabs>
          <w:tab w:val="left" w:pos="5160" w:leader="none"/>
        </w:tabs>
        <w:spacing w:before="119" w:after="0"/>
        <w:contextualSpacing/>
        <w:jc w:val="right"/>
        <w:rPr>
          <w:b/>
          <w:sz w:val="22"/>
          <w:szCs w:val="22"/>
        </w:rPr>
      </w:pPr>
      <w:r>
        <w:rPr>
          <w:b/>
          <w:sz w:val="22"/>
          <w:szCs w:val="22"/>
        </w:rPr>
        <w:t>dell’Unione Tresinaro Secchia</w:t>
      </w:r>
    </w:p>
    <w:p>
      <w:pPr>
        <w:pStyle w:val="Normal"/>
        <w:tabs>
          <w:tab w:val="left" w:pos="5160" w:leader="none"/>
        </w:tabs>
        <w:spacing w:before="119" w:after="0"/>
        <w:contextualSpacing/>
        <w:jc w:val="right"/>
        <w:rPr>
          <w:b w:val="false"/>
          <w:bCs w:val="false"/>
          <w:sz w:val="22"/>
          <w:szCs w:val="22"/>
        </w:rPr>
      </w:pPr>
      <w:r>
        <w:rPr>
          <w:b w:val="false"/>
          <w:bCs w:val="false"/>
          <w:sz w:val="22"/>
          <w:szCs w:val="22"/>
        </w:rPr>
        <w:t>Corso Vallisneri, n. 6</w:t>
      </w:r>
    </w:p>
    <w:p>
      <w:pPr>
        <w:pStyle w:val="Normal"/>
        <w:widowControl/>
        <w:tabs>
          <w:tab w:val="left" w:pos="5160" w:leader="none"/>
        </w:tabs>
        <w:spacing w:before="119" w:after="0"/>
        <w:contextualSpacing/>
        <w:jc w:val="right"/>
        <w:rPr>
          <w:b w:val="false"/>
          <w:bCs w:val="false"/>
          <w:sz w:val="22"/>
          <w:szCs w:val="22"/>
        </w:rPr>
      </w:pPr>
      <w:r>
        <w:rPr>
          <w:b w:val="false"/>
          <w:bCs w:val="false"/>
          <w:sz w:val="22"/>
          <w:szCs w:val="22"/>
        </w:rPr>
        <w:t>42019 Scandiano (RE)</w:t>
      </w:r>
    </w:p>
    <w:p>
      <w:pPr>
        <w:pStyle w:val="Titolo6"/>
        <w:widowControl/>
        <w:spacing w:before="0" w:after="0"/>
        <w:ind w:left="0" w:right="0" w:hanging="0"/>
        <w:contextualSpacing/>
        <w:jc w:val="right"/>
        <w:rPr>
          <w:rFonts w:eastAsia="Times New Roman" w:cs="Times New Roman"/>
          <w:b w:val="false"/>
          <w:bCs w:val="false"/>
          <w:color w:val="00000A"/>
          <w:sz w:val="22"/>
          <w:szCs w:val="22"/>
          <w:u w:val="single"/>
          <w:lang w:val="it-IT" w:eastAsia="zh-CN" w:bidi="ar-SA"/>
        </w:rPr>
      </w:pPr>
      <w:bookmarkStart w:id="0" w:name="OLE_LINK20"/>
      <w:bookmarkEnd w:id="0"/>
      <w:r>
        <w:rPr>
          <w:rFonts w:eastAsia="Times New Roman" w:cs="Times New Roman"/>
          <w:b w:val="false"/>
          <w:bCs w:val="false"/>
          <w:color w:val="00000A"/>
          <w:sz w:val="22"/>
          <w:szCs w:val="22"/>
          <w:u w:val="single"/>
          <w:lang w:val="it-IT" w:eastAsia="zh-CN" w:bidi="ar-SA"/>
        </w:rPr>
        <w:t>Inviato mediante Piattaforma SATER</w:t>
      </w:r>
    </w:p>
    <w:p>
      <w:pPr>
        <w:pStyle w:val="Normal"/>
        <w:ind w:left="360" w:right="0" w:hanging="0"/>
        <w:jc w:val="center"/>
        <w:rPr>
          <w:rFonts w:cs="Tahoma"/>
          <w:sz w:val="22"/>
          <w:szCs w:val="22"/>
        </w:rPr>
      </w:pPr>
      <w:bookmarkStart w:id="1" w:name="OLE_LINK201"/>
      <w:bookmarkStart w:id="2" w:name="OLE_LINK201"/>
      <w:bookmarkEnd w:id="2"/>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OGGETTO:</w:t>
      </w:r>
      <w:r>
        <w:rPr>
          <w:rStyle w:val="Carpredefinitoparagrafo"/>
          <w:rFonts w:eastAsia="Times New Roman" w:cs="Times New Roman"/>
          <w:b w:val="false"/>
          <w:bCs w:val="false"/>
          <w:color w:val="00000A"/>
          <w:sz w:val="22"/>
          <w:szCs w:val="22"/>
          <w:u w:val="none"/>
          <w:lang w:val="it-IT" w:eastAsia="zh-CN" w:bidi="hi-IN"/>
        </w:rPr>
        <w:t xml:space="preserve"> </w:t>
      </w:r>
      <w:r>
        <w:rPr>
          <w:rStyle w:val="Carpredefinitoparagrafo"/>
          <w:rFonts w:eastAsia="Times New Roman" w:cs="Arial"/>
          <w:b w:val="false"/>
          <w:bCs w:val="false"/>
          <w:color w:val="000000"/>
          <w:sz w:val="22"/>
          <w:szCs w:val="22"/>
          <w:u w:val="none"/>
          <w:lang w:val="it-IT" w:eastAsia="zh-CN" w:bidi="hi-IN"/>
        </w:rPr>
        <w:t xml:space="preserve">GARA A PROCEDURA APERTA TELEMATICA PER L'AFFIDAMENTO DEL SERVIZIO DI PREDISPOSIZIONE DI PRATICHE PENSIONISTICHE E PREVIDENZIALI DEL PERSONALE DIPENDENTE DELL'UNIONE TRESINARO SECCHIA E DEI COMUNI CHE NE FANNO PARTE. </w:t>
      </w:r>
    </w:p>
    <w:p>
      <w:pPr>
        <w:pStyle w:val="Normal"/>
        <w:spacing w:lineRule="atLeast" w:line="283"/>
        <w:jc w:val="both"/>
        <w:rPr>
          <w:sz w:val="22"/>
          <w:szCs w:val="22"/>
          <w:u w:val="none"/>
        </w:rPr>
      </w:pPr>
      <w:r>
        <w:rPr>
          <w:sz w:val="22"/>
          <w:szCs w:val="22"/>
          <w:u w:val="none"/>
        </w:rPr>
      </w:r>
    </w:p>
    <w:p>
      <w:pPr>
        <w:pStyle w:val="Corpodeltesto"/>
        <w:spacing w:lineRule="atLeast" w:line="283"/>
        <w:rPr>
          <w:rStyle w:val="Carpredefinitoparagrafo"/>
          <w:b/>
          <w:bCs/>
          <w:sz w:val="22"/>
          <w:szCs w:val="22"/>
          <w:u w:val="none"/>
          <w:lang w:bidi="hi-IN"/>
        </w:rPr>
      </w:pPr>
      <w:r>
        <w:rPr>
          <w:rStyle w:val="Carpredefinitoparagrafo"/>
          <w:rFonts w:eastAsia="SimSun" w:cs="Mangal"/>
          <w:b/>
          <w:bCs/>
          <w:caps/>
          <w:sz w:val="22"/>
          <w:szCs w:val="22"/>
          <w:u w:val="none"/>
          <w:shd w:fill="FFFFFF" w:val="clear"/>
          <w:lang w:bidi="hi-IN"/>
        </w:rPr>
        <w:t xml:space="preserve">CPV: 79998000-6 </w:t>
      </w:r>
      <w:r>
        <w:rPr>
          <w:rStyle w:val="Carpredefinitoparagrafo"/>
          <w:b/>
          <w:bCs/>
          <w:sz w:val="22"/>
          <w:szCs w:val="22"/>
          <w:u w:val="none"/>
          <w:lang w:bidi="hi-IN"/>
        </w:rPr>
        <w:t>Servizi di assistenza professionale</w:t>
      </w:r>
    </w:p>
    <w:p>
      <w:pPr>
        <w:pStyle w:val="Corpodeltesto"/>
        <w:spacing w:lineRule="atLeast" w:line="340" w:before="0" w:after="142"/>
        <w:contextualSpacing/>
        <w:jc w:val="both"/>
        <w:rPr>
          <w:rStyle w:val="Carpredefinitoparagrafo"/>
          <w:rFonts w:eastAsia="Times New Roman" w:cs="Arial"/>
          <w:b/>
          <w:bCs/>
          <w:color w:val="000000"/>
          <w:sz w:val="22"/>
          <w:szCs w:val="22"/>
          <w:u w:val="none"/>
          <w:shd w:fill="FFFFFF" w:val="clear"/>
          <w:lang w:val="it-IT" w:eastAsia="zh-CN" w:bidi="hi-IN"/>
        </w:rPr>
      </w:pPr>
      <w:r>
        <w:rPr>
          <w:rStyle w:val="Carpredefinitoparagrafo"/>
          <w:rFonts w:eastAsia="Times New Roman" w:cs="Arial"/>
          <w:b/>
          <w:bCs/>
          <w:color w:val="000000"/>
          <w:sz w:val="22"/>
          <w:szCs w:val="22"/>
          <w:u w:val="none"/>
          <w:shd w:fill="FFFFFF" w:val="clear"/>
          <w:lang w:val="it-IT" w:eastAsia="zh-CN" w:bidi="hi-IN"/>
        </w:rPr>
        <w:t>CIG: 8293251F36</w:t>
      </w:r>
    </w:p>
    <w:p>
      <w:pPr>
        <w:pStyle w:val="Normal"/>
        <w:rPr>
          <w:rFonts w:eastAsia="Arial Unicode MS" w:cs="Tahoma"/>
          <w:sz w:val="22"/>
          <w:szCs w:val="22"/>
        </w:rPr>
      </w:pPr>
      <w:r>
        <w:rPr>
          <w:rFonts w:eastAsia="Arial Unicode MS" w:cs="Tahoma"/>
          <w:sz w:val="22"/>
          <w:szCs w:val="22"/>
        </w:rPr>
      </w:r>
    </w:p>
    <w:p>
      <w:pPr>
        <w:pStyle w:val="Normal"/>
        <w:widowControl/>
        <w:suppressAutoHyphens w:val="true"/>
        <w:bidi w:val="0"/>
        <w:spacing w:lineRule="atLeast" w:line="283" w:before="0" w:after="0"/>
        <w:ind w:left="0" w:right="0" w:hanging="0"/>
        <w:jc w:val="both"/>
        <w:textAlignment w:val="baseline"/>
        <w:rPr>
          <w:rFonts w:cs="Tahoma"/>
          <w:sz w:val="22"/>
          <w:szCs w:val="22"/>
        </w:rPr>
      </w:pPr>
      <w:r>
        <w:rPr>
          <w:rFonts w:cs="Tahoma"/>
          <w:sz w:val="22"/>
          <w:szCs w:val="22"/>
        </w:rPr>
        <w:t xml:space="preserve">Premesso che quanto di seguito dichiarato è reso ai sensi degli articoli 46 e 47 del D.P.R. 445/2000 e s.m.i., </w:t>
      </w:r>
      <w:r>
        <w:rPr>
          <w:rFonts w:cs="Tahoma"/>
          <w:sz w:val="22"/>
          <w:szCs w:val="22"/>
          <w:u w:val="none"/>
          <w:lang w:val="it-IT"/>
        </w:rPr>
        <w:t xml:space="preserve">consapevole della decadenza dai benefici e delle sanzioni penali previste per il caso di </w:t>
      </w:r>
      <w:r>
        <w:rPr>
          <w:rFonts w:cs="Tahoma"/>
          <w:sz w:val="22"/>
          <w:szCs w:val="22"/>
          <w:u w:val="none"/>
        </w:rPr>
        <w:t>dichiarazione mendace o contenente dati non più rispondenti a verità, così come stabilito dagli articoli 75 e 76 del D.P.R.</w:t>
      </w:r>
      <w:r>
        <w:rPr>
          <w:rFonts w:cs="Tahoma"/>
          <w:sz w:val="22"/>
          <w:szCs w:val="22"/>
        </w:rPr>
        <w:t xml:space="preserve"> 28/12/2000 n. 445;</w:t>
      </w:r>
    </w:p>
    <w:p>
      <w:pPr>
        <w:pStyle w:val="Normal"/>
        <w:widowControl/>
        <w:ind w:left="360" w:right="0" w:hanging="0"/>
        <w:jc w:val="both"/>
        <w:rPr>
          <w:rFonts w:cs="Tahoma"/>
          <w:sz w:val="22"/>
          <w:szCs w:val="22"/>
        </w:rPr>
      </w:pPr>
      <w:r>
        <w:rPr>
          <w:rFonts w:cs="Tahoma"/>
          <w:sz w:val="22"/>
          <w:szCs w:val="22"/>
        </w:rPr>
      </w:r>
    </w:p>
    <w:p>
      <w:pPr>
        <w:pStyle w:val="Normal"/>
        <w:widowControl/>
        <w:spacing w:lineRule="auto" w:line="360"/>
        <w:jc w:val="both"/>
        <w:rPr>
          <w:rFonts w:cs="Tahoma"/>
          <w:sz w:val="22"/>
          <w:szCs w:val="22"/>
        </w:rPr>
      </w:pPr>
      <w:r>
        <w:rPr>
          <w:rFonts w:cs="Tahoma"/>
          <w:sz w:val="22"/>
          <w:szCs w:val="22"/>
        </w:rPr>
      </w:r>
    </w:p>
    <w:p>
      <w:pPr>
        <w:pStyle w:val="Normal"/>
        <w:widowControl/>
        <w:spacing w:lineRule="auto" w:line="360"/>
        <w:jc w:val="left"/>
        <w:rPr>
          <w:rFonts w:cs="Tahoma"/>
          <w:sz w:val="22"/>
          <w:szCs w:val="22"/>
          <w:lang w:eastAsia="it-IT"/>
        </w:rPr>
      </w:pPr>
      <w:r>
        <w:rPr>
          <w:rFonts w:cs="Tahoma"/>
          <w:sz w:val="22"/>
          <w:szCs w:val="22"/>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2"/>
          <w:szCs w:val="22"/>
          <w:lang w:val="it-IT"/>
        </w:rPr>
      </w:pPr>
      <w:bookmarkStart w:id="3" w:name="OLE_LINK2611"/>
      <w:bookmarkStart w:id="4" w:name="OLE_LINK2611"/>
      <w:bookmarkEnd w:id="4"/>
      <w:r>
        <w:rPr>
          <w:rFonts w:cs="Tahoma"/>
          <w:sz w:val="22"/>
          <w:szCs w:val="22"/>
          <w:lang w:val="it-IT"/>
        </w:rPr>
      </w:r>
    </w:p>
    <w:p>
      <w:pPr>
        <w:pStyle w:val="Sche3"/>
        <w:widowControl/>
        <w:spacing w:lineRule="auto" w:line="276"/>
        <w:jc w:val="center"/>
        <w:rPr>
          <w:rFonts w:cs="Tahoma"/>
          <w:sz w:val="22"/>
          <w:szCs w:val="22"/>
          <w:lang w:val="it-IT"/>
        </w:rPr>
      </w:pPr>
      <w:r>
        <w:rPr>
          <w:rFonts w:cs="Tahoma"/>
          <w:sz w:val="22"/>
          <w:szCs w:val="22"/>
          <w:lang w:val="it-IT"/>
        </w:rPr>
        <w:t>IN QUALITA’ DI</w:t>
      </w:r>
    </w:p>
    <w:p>
      <w:pPr>
        <w:pStyle w:val="Sche3"/>
        <w:widowControl/>
        <w:spacing w:lineRule="auto" w:line="276"/>
        <w:jc w:val="center"/>
        <w:rPr>
          <w:rFonts w:cs="Tahoma"/>
          <w:sz w:val="22"/>
          <w:szCs w:val="22"/>
          <w:lang w:val="it-IT"/>
        </w:rPr>
      </w:pPr>
      <w:r>
        <w:rPr>
          <w:rFonts w:cs="Tahoma"/>
          <w:sz w:val="22"/>
          <w:szCs w:val="22"/>
          <w:lang w:val="it-IT"/>
        </w:rPr>
      </w:r>
    </w:p>
    <w:p>
      <w:pPr>
        <w:pStyle w:val="Sche3"/>
        <w:widowControl/>
        <w:spacing w:lineRule="auto" w:line="276"/>
        <w:jc w:val="center"/>
        <w:rPr>
          <w:rFonts w:cs="Tahoma"/>
          <w:sz w:val="22"/>
          <w:szCs w:val="22"/>
          <w:lang w:val="it-IT"/>
        </w:rPr>
      </w:pPr>
      <w:r>
        <w:rPr>
          <w:rFonts w:cs="Tahoma"/>
          <w:sz w:val="22"/>
          <w:szCs w:val="22"/>
          <w:lang w:val="it-IT"/>
        </w:rPr>
        <w:t>AUSILIARIA del concorrente________________________________</w:t>
      </w:r>
    </w:p>
    <w:p>
      <w:pPr>
        <w:pStyle w:val="Sche3"/>
        <w:widowControl/>
        <w:jc w:val="center"/>
        <w:rPr>
          <w:rFonts w:cs="Tahoma"/>
          <w:sz w:val="22"/>
          <w:szCs w:val="22"/>
          <w:u w:val="single"/>
          <w:lang w:val="it-IT"/>
        </w:rPr>
      </w:pPr>
      <w:r>
        <w:rPr>
          <w:rFonts w:cs="Tahoma"/>
          <w:sz w:val="22"/>
          <w:szCs w:val="22"/>
          <w:u w:val="single"/>
          <w:lang w:val="it-IT"/>
        </w:rPr>
      </w:r>
    </w:p>
    <w:p>
      <w:pPr>
        <w:pStyle w:val="Sche3"/>
        <w:widowControl/>
        <w:jc w:val="center"/>
        <w:rPr>
          <w:rFonts w:cs="Tahoma"/>
          <w:sz w:val="22"/>
          <w:szCs w:val="22"/>
          <w:lang w:val="it-IT"/>
        </w:rPr>
      </w:pPr>
      <w:r>
        <w:rPr>
          <w:rFonts w:cs="Tahoma"/>
          <w:sz w:val="22"/>
          <w:szCs w:val="22"/>
          <w:lang w:val="it-IT"/>
        </w:rPr>
        <w:t xml:space="preserve">DICHIARA </w:t>
      </w:r>
    </w:p>
    <w:p>
      <w:pPr>
        <w:pStyle w:val="Sche3"/>
        <w:widowControl/>
        <w:jc w:val="center"/>
        <w:rPr>
          <w:rFonts w:cs="Tahoma"/>
          <w:sz w:val="22"/>
          <w:szCs w:val="22"/>
          <w:u w:val="single"/>
          <w:lang w:val="it-IT"/>
        </w:rPr>
      </w:pPr>
      <w:r>
        <w:rPr>
          <w:rFonts w:cs="Tahoma"/>
          <w:sz w:val="22"/>
          <w:szCs w:val="22"/>
          <w:u w:val="single"/>
          <w:lang w:val="it-IT"/>
        </w:rPr>
      </w:r>
    </w:p>
    <w:p>
      <w:pPr>
        <w:pStyle w:val="Sche3"/>
        <w:jc w:val="center"/>
        <w:rPr>
          <w:rFonts w:cs="Tahoma"/>
          <w:sz w:val="22"/>
          <w:szCs w:val="22"/>
          <w:u w:val="single"/>
          <w:lang w:val="it-IT"/>
        </w:rPr>
      </w:pPr>
      <w:r>
        <w:rPr>
          <w:rFonts w:cs="Tahoma"/>
          <w:sz w:val="22"/>
          <w:szCs w:val="22"/>
          <w:u w:val="single"/>
          <w:lang w:val="it-IT"/>
        </w:rPr>
        <w:t>(barrare le caselle che corrispondono al vero e completare)</w:t>
      </w:r>
    </w:p>
    <w:p>
      <w:pPr>
        <w:pStyle w:val="Sche3"/>
        <w:jc w:val="center"/>
        <w:rPr>
          <w:rFonts w:cs="Tahoma"/>
          <w:i/>
          <w:sz w:val="22"/>
          <w:szCs w:val="22"/>
          <w:lang w:val="it-IT"/>
        </w:rPr>
      </w:pPr>
      <w:r>
        <w:rPr>
          <w:rFonts w:cs="Tahoma"/>
          <w:i/>
          <w:sz w:val="22"/>
          <w:szCs w:val="22"/>
          <w:lang w:val="it-IT"/>
        </w:rPr>
      </w:r>
    </w:p>
    <w:p>
      <w:pPr>
        <w:pStyle w:val="Sche3"/>
        <w:jc w:val="center"/>
        <w:rPr>
          <w:rFonts w:cs="Tahoma"/>
          <w:i/>
          <w:sz w:val="22"/>
          <w:szCs w:val="22"/>
          <w:lang w:val="it-IT"/>
        </w:rPr>
      </w:pPr>
      <w:r>
        <w:rPr>
          <w:rFonts w:cs="Tahoma"/>
          <w:i/>
          <w:sz w:val="22"/>
          <w:szCs w:val="22"/>
          <w:lang w:val="it-IT"/>
        </w:rPr>
      </w:r>
    </w:p>
    <w:p>
      <w:pPr>
        <w:pStyle w:val="Normale1"/>
        <w:widowControl w:val="false"/>
        <w:tabs>
          <w:tab w:val="left" w:pos="0" w:leader="none"/>
        </w:tabs>
        <w:spacing w:lineRule="atLeast" w:line="283"/>
        <w:ind w:left="454" w:right="0" w:hanging="0"/>
        <w:jc w:val="both"/>
        <w:rPr>
          <w:rFonts w:eastAsia="Tahoma" w:cs="Tahoma"/>
          <w:b w:val="false"/>
          <w:bCs w:val="false"/>
          <w:color w:val="000000"/>
          <w:sz w:val="22"/>
          <w:szCs w:val="22"/>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D. Lgs. 50/2016 </w:t>
      </w:r>
      <w:r>
        <w:rPr>
          <w:rFonts w:eastAsia="Tahoma" w:cs="Tahoma"/>
          <w:b w:val="false"/>
          <w:bCs w:val="false"/>
          <w:color w:val="000000"/>
          <w:sz w:val="22"/>
          <w:szCs w:val="22"/>
        </w:rPr>
        <w:t>dichiara di non incorrere in alcuna delle cause di esclusione di cui all’art. 80 comma 5 – lett. c-bis), c-ter, f-bis e f- ter del D.Lgs. 50/2016 (di seguito Codice)</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ind w:left="454" w:right="0" w:hanging="0"/>
        <w:jc w:val="both"/>
        <w:rPr>
          <w:rFonts w:eastAsia="Tahoma" w:cs="Tahoma"/>
          <w:b/>
          <w:sz w:val="22"/>
          <w:szCs w:val="22"/>
        </w:rPr>
      </w:pPr>
      <w:r>
        <w:rPr>
          <w:rFonts w:eastAsia="Tahoma" w:cs="Tahoma"/>
          <w:b/>
          <w:sz w:val="22"/>
          <w:szCs w:val="22"/>
        </w:rPr>
        <w:t xml:space="preserve">- </w:t>
        <w:tab/>
        <w:t>Motivi legati a condanne penali:</w:t>
      </w:r>
    </w:p>
    <w:p>
      <w:pPr>
        <w:pStyle w:val="Normal"/>
        <w:widowControl w:val="false"/>
        <w:tabs>
          <w:tab w:val="left" w:pos="-31680" w:leader="none"/>
        </w:tabs>
        <w:jc w:val="both"/>
        <w:rPr>
          <w:sz w:val="22"/>
          <w:szCs w:val="22"/>
        </w:rPr>
      </w:pPr>
      <w:r>
        <w:rPr>
          <w:sz w:val="22"/>
          <w:szCs w:val="22"/>
        </w:rPr>
      </w:r>
    </w:p>
    <w:p>
      <w:pPr>
        <w:pStyle w:val="Normal"/>
        <w:widowControl w:val="false"/>
        <w:tabs>
          <w:tab w:val="left" w:pos="1132" w:leader="none"/>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di gara specificando la data cessazione e carica ricoperta fino alla cessazione</w:t>
      </w:r>
      <w:r>
        <w:rPr>
          <w:rFonts w:eastAsia="Tahoma" w:cs="Tahoma"/>
          <w:sz w:val="22"/>
          <w:szCs w:val="22"/>
        </w:rPr>
        <w:t>):</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2"/>
          <w:szCs w:val="22"/>
        </w:rPr>
      </w:pPr>
      <w:r>
        <w:rPr>
          <w:rFonts w:eastAsia="Tahoma" w:cs="Tahoma"/>
          <w:sz w:val="22"/>
          <w:szCs w:val="22"/>
        </w:rPr>
      </w:r>
    </w:p>
    <w:tbl>
      <w:tblPr>
        <w:jc w:val="left"/>
        <w:tblInd w:w="32"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4" w:type="dxa"/>
          <w:bottom w:w="55" w:type="dxa"/>
          <w:right w:w="55" w:type="dxa"/>
        </w:tblCellMar>
      </w:tblPr>
      <w:tblGrid>
        <w:gridCol w:w="1690"/>
        <w:gridCol w:w="1690"/>
        <w:gridCol w:w="1699"/>
        <w:gridCol w:w="1692"/>
        <w:gridCol w:w="3431"/>
      </w:tblGrid>
      <w:tr>
        <w:trPr>
          <w:cantSplit w:val="false"/>
        </w:trPr>
        <w:tc>
          <w:tcPr>
            <w:tcW w:w="169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jc w:val="center"/>
              <w:rPr>
                <w:b/>
                <w:bCs/>
                <w:sz w:val="22"/>
                <w:szCs w:val="22"/>
              </w:rPr>
            </w:pPr>
            <w:r>
              <w:rPr>
                <w:b/>
                <w:bCs/>
                <w:sz w:val="22"/>
                <w:szCs w:val="22"/>
              </w:rPr>
              <w:t>nome e cognome</w:t>
            </w:r>
          </w:p>
        </w:tc>
        <w:tc>
          <w:tcPr>
            <w:tcW w:w="169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jc w:val="center"/>
              <w:rPr>
                <w:b/>
                <w:bCs/>
                <w:sz w:val="22"/>
                <w:szCs w:val="22"/>
              </w:rPr>
            </w:pPr>
            <w:r>
              <w:rPr>
                <w:b/>
                <w:bCs/>
                <w:sz w:val="22"/>
                <w:szCs w:val="22"/>
              </w:rPr>
              <w:t>codice fiscale</w:t>
            </w:r>
          </w:p>
        </w:tc>
        <w:tc>
          <w:tcPr>
            <w:tcW w:w="169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jc w:val="center"/>
              <w:rPr>
                <w:b/>
                <w:bCs/>
                <w:sz w:val="22"/>
                <w:szCs w:val="22"/>
              </w:rPr>
            </w:pPr>
            <w:r>
              <w:rPr>
                <w:b/>
                <w:bCs/>
                <w:sz w:val="22"/>
                <w:szCs w:val="22"/>
              </w:rPr>
              <w:t>luogo e data di nascita</w:t>
            </w:r>
          </w:p>
        </w:tc>
        <w:tc>
          <w:tcPr>
            <w:tcW w:w="169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jc w:val="center"/>
              <w:rPr>
                <w:b/>
                <w:bCs/>
                <w:sz w:val="22"/>
                <w:szCs w:val="22"/>
              </w:rPr>
            </w:pPr>
            <w:r>
              <w:rPr>
                <w:b/>
                <w:bCs/>
                <w:sz w:val="22"/>
                <w:szCs w:val="22"/>
              </w:rPr>
              <w:t>residenza</w:t>
            </w:r>
          </w:p>
        </w:tc>
        <w:tc>
          <w:tcPr>
            <w:tcW w:w="343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4" w:type="dxa"/>
            </w:tcMar>
          </w:tcPr>
          <w:p>
            <w:pPr>
              <w:pStyle w:val="Contenutotabella"/>
              <w:jc w:val="center"/>
              <w:rPr>
                <w:b/>
                <w:bCs/>
                <w:sz w:val="22"/>
                <w:szCs w:val="22"/>
              </w:rPr>
            </w:pPr>
            <w:r>
              <w:rPr>
                <w:b/>
                <w:bCs/>
                <w:sz w:val="22"/>
                <w:szCs w:val="22"/>
              </w:rPr>
              <w:t>carica ricoperta</w:t>
            </w:r>
          </w:p>
        </w:tc>
      </w:tr>
      <w:tr>
        <w:trPr>
          <w:cantSplit w:val="false"/>
        </w:trPr>
        <w:tc>
          <w:tcPr>
            <w:tcW w:w="1690"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0"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2"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3431"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24"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r>
        <w:trPr>
          <w:cantSplit w:val="false"/>
        </w:trPr>
        <w:tc>
          <w:tcPr>
            <w:tcW w:w="1690"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0"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2"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3431"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24"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r>
        <w:trPr>
          <w:cantSplit w:val="false"/>
        </w:trPr>
        <w:tc>
          <w:tcPr>
            <w:tcW w:w="1690"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0"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1692" w:type="dxa"/>
            <w:tcBorders>
              <w:top w:val="nil"/>
              <w:left w:val="single" w:sz="2" w:space="0" w:color="000001"/>
              <w:bottom w:val="single" w:sz="2" w:space="0" w:color="000001"/>
              <w:insideH w:val="single" w:sz="2" w:space="0" w:color="000001"/>
              <w:right w:val="nil"/>
              <w:insideV w:val="nil"/>
            </w:tcBorders>
            <w:shd w:fill="FFFFFF" w:val="clear"/>
            <w:tcMar>
              <w:left w:w="24" w:type="dxa"/>
            </w:tcMar>
          </w:tcPr>
          <w:p>
            <w:pPr>
              <w:pStyle w:val="Contenutotabella"/>
              <w:rPr>
                <w:sz w:val="22"/>
                <w:szCs w:val="22"/>
              </w:rPr>
            </w:pPr>
            <w:r>
              <w:rPr>
                <w:sz w:val="22"/>
                <w:szCs w:val="22"/>
              </w:rPr>
            </w:r>
          </w:p>
        </w:tc>
        <w:tc>
          <w:tcPr>
            <w:tcW w:w="3431"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24"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bl>
    <w:p>
      <w:pPr>
        <w:pStyle w:val="Normal"/>
        <w:widowControl w:val="false"/>
        <w:tabs>
          <w:tab w:val="left" w:pos="1384" w:leader="none"/>
          <w:tab w:val="left" w:pos="1645" w:leader="none"/>
          <w:tab w:val="left" w:pos="2637" w:leader="none"/>
        </w:tabs>
        <w:suppressAutoHyphens w:val="true"/>
        <w:bidi w:val="0"/>
        <w:spacing w:lineRule="atLeast" w:line="340"/>
        <w:ind w:left="0" w:right="0" w:hanging="0"/>
        <w:jc w:val="both"/>
        <w:textAlignment w:val="baseline"/>
        <w:rPr>
          <w:rFonts w:eastAsia="Tahoma" w:cs="Tahoma"/>
          <w:sz w:val="22"/>
          <w:szCs w:val="22"/>
        </w:rPr>
      </w:pPr>
      <w:r>
        <w:rPr>
          <w:rFonts w:eastAsia="Tahoma" w:cs="Tahoma"/>
          <w:sz w:val="22"/>
          <w:szCs w:val="22"/>
        </w:rPr>
      </w:r>
    </w:p>
    <w:p>
      <w:pPr>
        <w:pStyle w:val="Normal"/>
        <w:widowControl w:val="false"/>
        <w:tabs>
          <w:tab w:val="left" w:pos="-31680" w:leader="none"/>
        </w:tabs>
        <w:suppressAutoHyphens w:val="true"/>
        <w:bidi w:val="0"/>
        <w:ind w:left="1191" w:right="0" w:hanging="0"/>
        <w:jc w:val="both"/>
        <w:textAlignment w:val="baseline"/>
        <w:rPr>
          <w:i/>
          <w:iCs/>
          <w:sz w:val="22"/>
          <w:szCs w:val="22"/>
        </w:rPr>
      </w:pPr>
      <w:r>
        <w:rPr>
          <w:i/>
          <w:iCs/>
          <w:sz w:val="22"/>
          <w:szCs w:val="22"/>
        </w:rPr>
        <w:t>(Il concorrente può fornire i dati richiesti anche presentando un allegato a parte)</w:t>
      </w:r>
    </w:p>
    <w:p>
      <w:pPr>
        <w:pStyle w:val="Normal"/>
        <w:widowControl w:val="false"/>
        <w:tabs>
          <w:tab w:val="left" w:pos="-31680" w:leader="none"/>
        </w:tabs>
        <w:jc w:val="left"/>
        <w:rPr>
          <w:sz w:val="22"/>
          <w:szCs w:val="22"/>
        </w:rPr>
      </w:pPr>
      <w:r>
        <w:rPr>
          <w:sz w:val="22"/>
          <w:szCs w:val="22"/>
        </w:rPr>
      </w:r>
    </w:p>
    <w:p>
      <w:pPr>
        <w:pStyle w:val="Normal"/>
        <w:widowControl w:val="false"/>
        <w:tabs>
          <w:tab w:val="left" w:pos="-31680" w:leader="none"/>
        </w:tabs>
        <w:jc w:val="left"/>
        <w:rPr>
          <w:sz w:val="22"/>
          <w:szCs w:val="22"/>
        </w:rPr>
      </w:pPr>
      <w:r>
        <w:rPr>
          <w:sz w:val="22"/>
          <w:szCs w:val="22"/>
        </w:rPr>
      </w:r>
    </w:p>
    <w:p>
      <w:pPr>
        <w:pStyle w:val="Normal"/>
        <w:tabs>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2"/>
          <w:szCs w:val="22"/>
        </w:rPr>
      </w:pPr>
      <w:r>
        <w:rPr>
          <w:rFonts w:eastAsia="Tahoma" w:cs="Tahoma"/>
          <w:sz w:val="22"/>
          <w:szCs w:val="22"/>
        </w:rPr>
      </w:r>
    </w:p>
    <w:p>
      <w:pPr>
        <w:pStyle w:val="Normal"/>
        <w:tabs>
          <w:tab w:val="left" w:pos="1588" w:leader="none"/>
          <w:tab w:val="left" w:pos="2580" w:leader="none"/>
        </w:tabs>
        <w:ind w:left="1304" w:right="0" w:hanging="0"/>
        <w:jc w:val="both"/>
        <w:rPr>
          <w:rFonts w:eastAsia="Tahoma" w:cs="Tahoma"/>
          <w:color w:val="000000"/>
          <w:sz w:val="22"/>
          <w:szCs w:val="22"/>
        </w:rPr>
      </w:pPr>
      <w:r>
        <w:rPr>
          <w:rFonts w:eastAsia="Tahoma" w:cs="Tahoma"/>
          <w:sz w:val="22"/>
          <w:szCs w:val="22"/>
        </w:rPr>
        <w:t>- False comunicazioni sociali di cui agli articoli 2621 e 2622 del codice civile (Art. 80, comma 1, let. b-bis) del Codice:</w:t>
      </w:r>
      <w:bookmarkStart w:id="5" w:name="__DdeLink__43111_91320773"/>
      <w:r>
        <w:rPr>
          <w:rFonts w:eastAsia="Tahoma" w:cs="Tahoma"/>
          <w:sz w:val="22"/>
          <w:szCs w:val="22"/>
        </w:rPr>
        <w:t xml:space="preserve">     </w:t>
      </w:r>
      <w:bookmarkEnd w:id="5"/>
      <w:r>
        <w:rPr>
          <w:rFonts w:eastAsia="Tahoma" w:cs="Tahoma"/>
          <w:color w:val="000000"/>
          <w:sz w:val="22"/>
          <w:szCs w:val="22"/>
        </w:rPr>
        <w:t>[   ]Sì     [   ]No</w:t>
      </w:r>
    </w:p>
    <w:p>
      <w:pPr>
        <w:pStyle w:val="Normal"/>
        <w:tabs>
          <w:tab w:val="left" w:pos="1588" w:leader="none"/>
          <w:tab w:val="left" w:pos="2580" w:leader="none"/>
        </w:tabs>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Tahoma"/>
          <w:sz w:val="22"/>
          <w:szCs w:val="22"/>
        </w:rPr>
      </w:pPr>
      <w:r>
        <w:rPr>
          <w:rFonts w:eastAsia="Tahoma" w:cs="Tahoma"/>
          <w:sz w:val="22"/>
          <w:szCs w:val="22"/>
        </w:rPr>
        <w:t>In caso di risposta affermativa, indicare:</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both"/>
        <w:rPr>
          <w:rFonts w:eastAsia="Tahoma" w:cs="Calibri Light"/>
          <w:sz w:val="22"/>
          <w:szCs w:val="22"/>
        </w:rPr>
      </w:pPr>
      <w:r>
        <w:rPr>
          <w:rFonts w:eastAsia="Tahoma" w:cs="Calibri Light"/>
          <w:sz w:val="22"/>
          <w:szCs w:val="22"/>
        </w:rPr>
        <w:t>3) I soggetti di cui all’art. 80, comma 3</w:t>
      </w:r>
      <w:r>
        <w:rPr>
          <w:rStyle w:val="Richiamoallanotaapidipagina"/>
          <w:rFonts w:eastAsia="Tahoma" w:cs="Calibri Light"/>
          <w:sz w:val="22"/>
          <w:szCs w:val="22"/>
        </w:rPr>
        <w:footnoteReference w:customMarkFollows="1" w:id="3"/>
        <w:t>1</w:t>
      </w:r>
      <w:r>
        <w:rPr>
          <w:rFonts w:eastAsia="Tahoma" w:cs="Calibri Light"/>
          <w:sz w:val="22"/>
          <w:szCs w:val="22"/>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2"/>
          <w:szCs w:val="22"/>
        </w:rPr>
      </w:pPr>
      <w:r>
        <w:rPr>
          <w:rFonts w:cs="Calibri Light"/>
          <w:sz w:val="22"/>
          <w:szCs w:val="22"/>
        </w:rPr>
        <w:t>- Ogni altro delitto da cui derivi, quale pena accessoria, l’incapacità di contrattare con la pubblica amministrazione (Art. 80, comma 1, lett. g) del Codice:</w:t>
      </w:r>
      <w:bookmarkStart w:id="6" w:name="__DdeLink__43111_913207731"/>
      <w:r>
        <w:rPr>
          <w:rFonts w:eastAsia="Tahoma" w:cs="Tahoma"/>
          <w:sz w:val="22"/>
          <w:szCs w:val="22"/>
        </w:rPr>
        <w:t xml:space="preserve">     </w:t>
      </w:r>
      <w:bookmarkEnd w:id="6"/>
      <w:r>
        <w:rPr>
          <w:rFonts w:eastAsia="Tahoma" w:cs="Tahoma"/>
          <w:color w:val="000000"/>
          <w:sz w:val="22"/>
          <w:szCs w:val="22"/>
        </w:rPr>
        <w:t>[   ]Sì     [   ]No</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2"/>
          <w:szCs w:val="22"/>
        </w:rPr>
      </w:pPr>
      <w:r>
        <w:rPr>
          <w:rFonts w:eastAsia="Tahoma" w:cs="Calibri Light"/>
          <w:sz w:val="22"/>
          <w:szCs w:val="22"/>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 </w:t>
      </w:r>
      <w:r>
        <w:rPr>
          <w:rFonts w:eastAsia="Tahoma" w:cs="Calibri Light"/>
          <w:sz w:val="22"/>
          <w:szCs w:val="22"/>
        </w:rPr>
        <w:t xml:space="preserve">la data della condanna, del decreto penale di condanna o della sentenza di applicazione della pena su richiesta, la relativa durata e il reato commesso: </w:t>
      </w:r>
      <w:bookmarkStart w:id="7" w:name="_Hlk529259444"/>
      <w:r>
        <w:rPr>
          <w:rFonts w:eastAsia="Tahoma" w:cs="Calibri Light"/>
          <w:sz w:val="22"/>
          <w:szCs w:val="22"/>
        </w:rPr>
        <w:t>______________ _________________________________________________________________________</w:t>
      </w:r>
      <w:bookmarkEnd w:id="7"/>
      <w:r>
        <w:rPr>
          <w:rFonts w:eastAsia="Tahoma" w:cs="Calibri Light"/>
          <w:sz w:val="22"/>
          <w:szCs w:val="22"/>
        </w:rPr>
        <w:t>;</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i dati identificativi delle persone condannate: </w:t>
      </w:r>
      <w:bookmarkStart w:id="8" w:name="_Hlk529259454"/>
      <w:r>
        <w:rPr>
          <w:rFonts w:eastAsia="Tahoma" w:cs="Calibri Light"/>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8"/>
      <w:r>
        <w:rPr>
          <w:rFonts w:eastAsia="Tahoma" w:cs="Calibri Light"/>
          <w:sz w:val="22"/>
          <w:szCs w:val="22"/>
        </w:rPr>
        <w:t>;</w:t>
      </w:r>
    </w:p>
    <w:p>
      <w:pPr>
        <w:pStyle w:val="ListParagrap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e1"/>
        <w:widowControl w:val="false"/>
        <w:tabs>
          <w:tab w:val="left" w:pos="0" w:leader="none"/>
        </w:tabs>
        <w:spacing w:lineRule="atLeast" w:line="283"/>
        <w:ind w:left="454" w:right="0" w:hanging="0"/>
        <w:jc w:val="both"/>
        <w:rPr>
          <w:rFonts w:eastAsia="Tahoma" w:cs="Calibri Light"/>
          <w:b/>
          <w:bCs w:val="false"/>
          <w:sz w:val="22"/>
          <w:szCs w:val="22"/>
        </w:rPr>
      </w:pPr>
      <w:r>
        <w:rPr>
          <w:rFonts w:eastAsia="Tahoma" w:cs="Calibri Light"/>
          <w:b/>
          <w:bCs w:val="false"/>
          <w:sz w:val="22"/>
          <w:szCs w:val="22"/>
        </w:rPr>
        <w:t xml:space="preserve">- </w:t>
        <w:tab/>
        <w:t xml:space="preserve">Motivi di esclusione previsti esclusivamente dalla legislazione nazionale </w:t>
      </w:r>
      <w:r>
        <w:rPr>
          <w:rFonts w:eastAsia="Tahoma" w:cs="Calibri Light"/>
          <w:b w:val="false"/>
          <w:bCs w:val="false"/>
          <w:sz w:val="22"/>
          <w:szCs w:val="22"/>
        </w:rPr>
        <w:t>(art. 80 comma 2 e comma 5, lett. b), c), c-bis), c-ter), c-quater), lett. f), f-bis), f-ter), g), h), i), l), m), del D. Lgs. 50/2016)</w:t>
      </w:r>
      <w:r>
        <w:rPr>
          <w:rFonts w:eastAsia="Tahoma" w:cs="Calibri Light"/>
          <w:b/>
          <w:bCs w:val="false"/>
          <w:sz w:val="22"/>
          <w:szCs w:val="22"/>
        </w:rPr>
        <w:t>:</w:t>
      </w:r>
    </w:p>
    <w:p>
      <w:pPr>
        <w:pStyle w:val="Normal"/>
        <w:widowControl w:val="false"/>
        <w:tabs>
          <w:tab w:val="left" w:pos="-31680" w:leader="none"/>
        </w:tabs>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eastAsia="Tahoma" w:cs="Calibri Light"/>
          <w:sz w:val="22"/>
          <w:szCs w:val="22"/>
        </w:rPr>
        <w:t>Sussistono a carico dei soggetti indicati al comma 3</w:t>
      </w:r>
      <w:r>
        <w:rPr>
          <w:rStyle w:val="Richiamoallanotaapidipagina"/>
          <w:rFonts w:eastAsia="Tahoma" w:cs="Calibri Light"/>
          <w:sz w:val="22"/>
          <w:szCs w:val="22"/>
        </w:rPr>
        <w:footnoteReference w:customMarkFollows="1" w:id="4"/>
        <w:t>1</w:t>
      </w:r>
      <w:r>
        <w:rPr>
          <w:rFonts w:eastAsia="Tahoma" w:cs="Calibri Light"/>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r>
        <w:rPr>
          <w:rFonts w:eastAsia="Tahoma" w:cs="Tahoma"/>
          <w:sz w:val="22"/>
          <w:szCs w:val="22"/>
        </w:rPr>
        <w:t xml:space="preserve">    </w:t>
      </w:r>
      <w:bookmarkStart w:id="9" w:name="__DdeLink__43111_913207732"/>
      <w:bookmarkEnd w:id="9"/>
      <w:r>
        <w:rPr>
          <w:rFonts w:eastAsia="Tahoma" w:cs="Tahoma"/>
          <w:sz w:val="22"/>
          <w:szCs w:val="22"/>
        </w:rPr>
        <w:t xml:space="preserve"> </w:t>
      </w:r>
      <w:r>
        <w:rPr>
          <w:rFonts w:eastAsia="Tahoma" w:cs="Tahoma"/>
          <w:color w:val="000000"/>
          <w:sz w:val="22"/>
          <w:szCs w:val="22"/>
        </w:rPr>
        <w:t>[   ]Sì     [   ]No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cs="Calibri Light"/>
          <w:sz w:val="22"/>
          <w:szCs w:val="22"/>
        </w:rPr>
        <w:t xml:space="preserve">L’operatore economico si è reso colpevole di gravi illeciti professionali, tali da rendere dubbia la sua integrità o affidabilità </w:t>
      </w:r>
      <w:r>
        <w:rPr>
          <w:rFonts w:eastAsia="Tahoma" w:cs="Calibri Light"/>
          <w:sz w:val="22"/>
          <w:szCs w:val="22"/>
        </w:rPr>
        <w:t>(Art. 80, comma 5, lett. c)</w:t>
      </w:r>
      <w:r>
        <w:rPr>
          <w:rFonts w:cs="Calibri Light"/>
          <w:sz w:val="22"/>
          <w:szCs w:val="22"/>
        </w:rPr>
        <w:t>?</w:t>
      </w:r>
      <w:bookmarkStart w:id="10" w:name="__DdeLink__43111_913207733"/>
      <w:r>
        <w:rPr>
          <w:rFonts w:eastAsia="Tahoma" w:cs="Tahoma"/>
          <w:sz w:val="22"/>
          <w:szCs w:val="22"/>
        </w:rPr>
        <w:t xml:space="preserve">     </w:t>
      </w:r>
      <w:bookmarkEnd w:id="10"/>
      <w:r>
        <w:rPr>
          <w:rFonts w:eastAsia="Tahoma" w:cs="Tahoma"/>
          <w:color w:val="000000"/>
          <w:sz w:val="22"/>
          <w:szCs w:val="22"/>
        </w:rPr>
        <w:t>[   ]Sì     [   ]No</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w:t>
      </w:r>
      <w:bookmarkStart w:id="11" w:name="__DdeLink__43111_913207734"/>
      <w:r>
        <w:rPr>
          <w:rFonts w:eastAsia="Tahoma" w:cs="Tahoma"/>
          <w:sz w:val="22"/>
          <w:szCs w:val="22"/>
        </w:rPr>
        <w:t xml:space="preserve">     </w:t>
      </w:r>
      <w:bookmarkEnd w:id="11"/>
      <w:r>
        <w:rPr>
          <w:rFonts w:eastAsia="Tahoma" w:cs="Tahoma"/>
          <w:color w:val="000000"/>
          <w:sz w:val="22"/>
          <w:szCs w:val="22"/>
        </w:rPr>
        <w:t>[   ]Sì     [   ]No</w:t>
      </w:r>
    </w:p>
    <w:p>
      <w:pPr>
        <w:pStyle w:val="Normal"/>
        <w:tabs>
          <w:tab w:val="left" w:pos="1588" w:leader="none"/>
          <w:tab w:val="left" w:pos="2580" w:leader="none"/>
        </w:tabs>
        <w:ind w:left="1276"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
        <w:tabs>
          <w:tab w:val="left" w:pos="1588" w:leader="none"/>
          <w:tab w:val="left" w:pos="2580" w:leader="none"/>
        </w:tabs>
        <w:jc w:val="both"/>
        <w:rPr>
          <w:rFonts w:eastAsia="Tahoma" w:cs="Tahoma"/>
          <w:color w:val="000000"/>
          <w:sz w:val="22"/>
          <w:szCs w:val="22"/>
        </w:rPr>
      </w:pPr>
      <w:bookmarkStart w:id="12" w:name="__DdeLink__43111_913207735"/>
      <w:r>
        <w:rPr>
          <w:rFonts w:eastAsia="Tahoma" w:cs="Tahoma"/>
          <w:color w:val="000000"/>
          <w:sz w:val="22"/>
          <w:szCs w:val="22"/>
        </w:rPr>
        <w:tab/>
      </w:r>
      <w:bookmarkEnd w:id="12"/>
      <w:r>
        <w:rPr>
          <w:rFonts w:eastAsia="Tahoma" w:cs="Tahoma"/>
          <w:color w:val="000000"/>
          <w:sz w:val="22"/>
          <w:szCs w:val="22"/>
        </w:rPr>
        <w:t>[   ]Sì     [   ]No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spacing w:lineRule="atLeast" w:line="283"/>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commesso grave inadempimento nei confronti di uno o più subappaltatori, riconosciuto o accertato con sentenza passata in giudicato</w:t>
      </w:r>
      <w:r>
        <w:rPr>
          <w:rFonts w:cs="Calibri Light"/>
          <w:sz w:val="22"/>
          <w:szCs w:val="22"/>
        </w:rPr>
        <w:t xml:space="preserve"> </w:t>
      </w:r>
      <w:r>
        <w:rPr>
          <w:rFonts w:eastAsia="Tahoma" w:cs="Calibri Light"/>
          <w:sz w:val="22"/>
          <w:szCs w:val="22"/>
        </w:rPr>
        <w:t>(Art. 80, comma 5, lett. C-quater)</w:t>
      </w:r>
      <w:r>
        <w:rPr>
          <w:rFonts w:cs="Calibri Light"/>
          <w:sz w:val="22"/>
          <w:szCs w:val="22"/>
        </w:rPr>
        <w:t>?</w:t>
      </w:r>
    </w:p>
    <w:p>
      <w:pPr>
        <w:pStyle w:val="Normal"/>
        <w:widowControl/>
        <w:tabs>
          <w:tab w:val="left" w:pos="1588" w:leader="none"/>
          <w:tab w:val="left" w:pos="2580" w:leader="none"/>
        </w:tabs>
        <w:suppressAutoHyphens w:val="true"/>
        <w:bidi w:val="0"/>
        <w:spacing w:lineRule="atLeast" w:line="283"/>
        <w:ind w:left="0" w:right="0" w:hanging="0"/>
        <w:jc w:val="left"/>
        <w:textAlignment w:val="baseline"/>
        <w:rPr>
          <w:rFonts w:eastAsia="Tahoma" w:cs="Tahoma"/>
          <w:color w:val="000000"/>
          <w:sz w:val="22"/>
          <w:szCs w:val="22"/>
        </w:rPr>
      </w:pPr>
      <w:r>
        <w:rPr>
          <w:rFonts w:eastAsia="Tahoma" w:cs="Tahoma"/>
          <w:color w:val="000000"/>
          <w:sz w:val="22"/>
          <w:szCs w:val="22"/>
        </w:rPr>
        <w:tab/>
        <w:t>[   ]Sì     [   ]No</w:t>
      </w:r>
    </w:p>
    <w:p>
      <w:pPr>
        <w:pStyle w:val="Normal"/>
        <w:tabs>
          <w:tab w:val="left" w:pos="1588" w:leader="none"/>
          <w:tab w:val="left" w:pos="2580" w:leader="none"/>
        </w:tabs>
        <w:ind w:left="1304" w:right="0" w:hanging="0"/>
        <w:jc w:val="left"/>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left"/>
        <w:rPr>
          <w:rFonts w:eastAsia="Tahoma" w:cs="Calibri Light"/>
          <w:sz w:val="22"/>
          <w:szCs w:val="22"/>
        </w:rPr>
      </w:pPr>
      <w:r>
        <w:rPr>
          <w:rFonts w:eastAsia="Tahoma" w:cs="Calibri Light"/>
          <w:sz w:val="22"/>
          <w:szCs w:val="22"/>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Tahoma"/>
          <w:color w:val="000000"/>
          <w:sz w:val="22"/>
          <w:szCs w:val="22"/>
        </w:rPr>
      </w:pPr>
      <w:r>
        <w:rPr>
          <w:rFonts w:eastAsia="Tahoma" w:cs="Calibri Light"/>
          <w:sz w:val="22"/>
          <w:szCs w:val="22"/>
        </w:rPr>
        <w:t xml:space="preserve"> </w:t>
      </w:r>
      <w:r>
        <w:rPr>
          <w:rFonts w:eastAsia="Tahoma" w:cs="Calibri Light"/>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2"/>
          <w:szCs w:val="22"/>
          <w:u w:val="none"/>
        </w:rPr>
        <w:t>articolo 9, comma 2, lettera c) del decreto legislativo 8 giugno 2001, n. 231</w:t>
      </w:r>
      <w:r>
        <w:fldChar w:fldCharType="end"/>
      </w:r>
      <w:r>
        <w:rPr>
          <w:rFonts w:eastAsia="Tahoma" w:cs="Calibri Light"/>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2"/>
          <w:szCs w:val="22"/>
          <w:u w:val="none"/>
        </w:rPr>
        <w:t>articolo 14 del decreto legislativo 9 aprile 2008, n. 81</w:t>
      </w:r>
      <w:r>
        <w:fldChar w:fldCharType="end"/>
      </w:r>
      <w:r>
        <w:rPr>
          <w:rFonts w:eastAsia="Tahoma" w:cs="Calibri Light"/>
          <w:sz w:val="22"/>
          <w:szCs w:val="22"/>
        </w:rPr>
        <w:t xml:space="preserve"> (Art. 80, comma 5, lettera f)?:</w:t>
      </w:r>
      <w:bookmarkStart w:id="13" w:name="__DdeLink__43111_913207736"/>
      <w:r>
        <w:rPr>
          <w:rFonts w:eastAsia="Tahoma" w:cs="Tahoma"/>
          <w:sz w:val="22"/>
          <w:szCs w:val="22"/>
        </w:rPr>
        <w:t xml:space="preserve">     </w:t>
      </w:r>
      <w:bookmarkEnd w:id="13"/>
      <w:r>
        <w:rPr>
          <w:rFonts w:eastAsia="Tahoma" w:cs="Tahoma"/>
          <w:color w:val="000000"/>
          <w:sz w:val="22"/>
          <w:szCs w:val="22"/>
        </w:rPr>
        <w:t>[   ]Sì     [   ]No</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Tahoma"/>
          <w:b w:val="false"/>
          <w:bCs w:val="false"/>
          <w:color w:val="000000"/>
          <w:sz w:val="22"/>
          <w:szCs w:val="22"/>
        </w:rPr>
      </w:pPr>
      <w:r>
        <w:rPr>
          <w:rFonts w:eastAsia="Tahoma" w:cs="Calibri Light"/>
          <w:sz w:val="22"/>
          <w:szCs w:val="22"/>
        </w:rPr>
        <w:t xml:space="preserve"> </w:t>
      </w:r>
      <w:r>
        <w:rPr>
          <w:rFonts w:eastAsia="Tahoma" w:cs="Calibri Light"/>
          <w:sz w:val="22"/>
          <w:szCs w:val="22"/>
        </w:rPr>
        <w:t>Ha presentato nella procedura di gara in corso o negli affidamenti di subappalti documentazione o dichiarazioni non veritiere (Art. 80, comma 5, lettera f-bis)?:</w:t>
      </w:r>
      <w:bookmarkStart w:id="14" w:name="__DdeLink__43111_913207737"/>
      <w:r>
        <w:rPr>
          <w:rFonts w:eastAsia="Tahoma" w:cs="Tahoma"/>
          <w:b w:val="false"/>
          <w:bCs w:val="false"/>
          <w:sz w:val="22"/>
          <w:szCs w:val="22"/>
        </w:rPr>
        <w:t xml:space="preserve">     </w:t>
      </w:r>
      <w:bookmarkEnd w:id="14"/>
      <w:r>
        <w:rPr>
          <w:rFonts w:eastAsia="Tahoma" w:cs="Tahoma"/>
          <w:b w:val="false"/>
          <w:bCs w:val="false"/>
          <w:color w:val="000000"/>
          <w:sz w:val="22"/>
          <w:szCs w:val="22"/>
        </w:rPr>
        <w:t>[   ]Sì     [   ]No</w:t>
      </w:r>
    </w:p>
    <w:p>
      <w:pPr>
        <w:pStyle w:val="Normal"/>
        <w:tabs>
          <w:tab w:val="left" w:pos="1588" w:leader="none"/>
          <w:tab w:val="left" w:pos="2580" w:leader="none"/>
        </w:tabs>
        <w:ind w:left="1664" w:right="0" w:hanging="0"/>
        <w:jc w:val="both"/>
        <w:rPr>
          <w:rFonts w:eastAsia="Tahoma" w:cs="Calibri Light"/>
          <w:sz w:val="22"/>
          <w:szCs w:val="22"/>
        </w:rPr>
      </w:pPr>
      <w:r>
        <w:rPr>
          <w:rFonts w:eastAsia="Tahoma" w:cs="Calibri Light"/>
          <w:sz w:val="22"/>
          <w:szCs w:val="22"/>
        </w:rPr>
      </w:r>
    </w:p>
    <w:p>
      <w:pPr>
        <w:pStyle w:val="Normal"/>
        <w:widowControl w:val="false"/>
        <w:tabs>
          <w:tab w:val="left" w:pos="-14930" w:leader="none"/>
          <w:tab w:val="left" w:pos="-13938" w:leader="none"/>
        </w:tabs>
        <w:ind w:left="850"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850" w:right="0" w:hanging="360"/>
        <w:jc w:val="both"/>
        <w:textAlignment w:val="baseline"/>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bookmarkStart w:id="15" w:name="__DdeLink__43111_913207738"/>
      <w:r>
        <w:rPr>
          <w:rFonts w:eastAsia="Tahoma" w:cs="Tahoma"/>
          <w:sz w:val="22"/>
          <w:szCs w:val="22"/>
        </w:rPr>
        <w:t xml:space="preserve">     </w:t>
      </w:r>
      <w:bookmarkEnd w:id="15"/>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16" w:name="__DdeLink__43111_913207739"/>
      <w:r>
        <w:rPr>
          <w:rFonts w:eastAsia="Tahoma" w:cs="Tahoma"/>
          <w:sz w:val="22"/>
          <w:szCs w:val="22"/>
        </w:rPr>
        <w:t xml:space="preserve">     </w:t>
      </w:r>
      <w:bookmarkEnd w:id="16"/>
      <w:r>
        <w:rPr>
          <w:rFonts w:eastAsia="Tahoma" w:cs="Tahoma"/>
          <w:color w:val="000000"/>
          <w:sz w:val="22"/>
          <w:szCs w:val="22"/>
        </w:rPr>
        <w:t>[   ]Sì     [   ]No</w:t>
      </w:r>
      <w:r>
        <w:rPr>
          <w:rFonts w:eastAsia="Tahoma" w:cs="Calibri Light"/>
          <w:sz w:val="22"/>
          <w:szCs w:val="22"/>
        </w:rPr>
        <w:t xml:space="preserve">          In caso di risposta affermativa indicare il periodo per il quale perdura l’iscrizione </w:t>
      </w:r>
      <w:bookmarkStart w:id="17" w:name="_Hlk529259626"/>
      <w:r>
        <w:rPr>
          <w:rFonts w:eastAsia="Tahoma" w:cs="Calibri Light"/>
          <w:sz w:val="22"/>
          <w:szCs w:val="22"/>
        </w:rPr>
        <w:t>_________________________________________</w:t>
      </w:r>
      <w:bookmarkEnd w:id="17"/>
      <w:r>
        <w:rPr>
          <w:rFonts w:eastAsia="Tahoma" w:cs="Calibri Light"/>
          <w:sz w:val="22"/>
          <w:szCs w:val="22"/>
        </w:rPr>
        <w:t>;</w:t>
      </w:r>
    </w:p>
    <w:p>
      <w:pPr>
        <w:pStyle w:val="Normal"/>
        <w:widowControl w:val="false"/>
        <w:tabs>
          <w:tab w:val="left" w:pos="-14476" w:leader="none"/>
          <w:tab w:val="left" w:pos="-13484" w:leader="none"/>
        </w:tabs>
        <w:spacing w:lineRule="auto" w:line="276"/>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w:t>
      </w:r>
      <w:bookmarkStart w:id="18" w:name="__DdeLink__43111_9132077310"/>
      <w:r>
        <w:rPr>
          <w:rFonts w:eastAsia="Tahoma" w:cs="Tahoma"/>
          <w:sz w:val="22"/>
          <w:szCs w:val="22"/>
        </w:rPr>
        <w:t xml:space="preserve">     </w:t>
      </w:r>
      <w:bookmarkEnd w:id="18"/>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eastAsia="Tahoma" w:cs="Tahoma"/>
          <w:color w:val="000000"/>
          <w:sz w:val="22"/>
          <w:szCs w:val="22"/>
        </w:rPr>
      </w:pPr>
      <w:r>
        <w:rPr>
          <w:rFonts w:cs="Calibri Light"/>
          <w:sz w:val="22"/>
          <w:szCs w:val="22"/>
        </w:rPr>
        <w:t>In caso di risposta affermativa indicare la data di accertamento  _____________________  e se la sanzione è stata rimossa:</w:t>
      </w:r>
      <w:bookmarkStart w:id="19" w:name="__DdeLink__43111_9132077311"/>
      <w:r>
        <w:rPr>
          <w:rFonts w:eastAsia="Tahoma" w:cs="Tahoma"/>
          <w:sz w:val="22"/>
          <w:szCs w:val="22"/>
        </w:rPr>
        <w:t xml:space="preserve">     </w:t>
      </w:r>
      <w:bookmarkEnd w:id="19"/>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    </w:t>
      </w:r>
      <w:bookmarkStart w:id="20" w:name="__DdeLink__43111_9132077312"/>
      <w:r>
        <w:rPr>
          <w:rFonts w:eastAsia="Tahoma" w:cs="Tahoma"/>
          <w:sz w:val="22"/>
          <w:szCs w:val="22"/>
        </w:rPr>
        <w:t xml:space="preserve"> </w:t>
      </w:r>
      <w:bookmarkEnd w:id="20"/>
      <w:r>
        <w:rPr>
          <w:rFonts w:eastAsia="Tahoma" w:cs="Tahoma"/>
          <w:color w:val="000000"/>
          <w:sz w:val="22"/>
          <w:szCs w:val="22"/>
        </w:rPr>
        <w:t>[   ]Sì     [   ]No</w:t>
      </w:r>
      <w:r>
        <w:rPr>
          <w:rFonts w:eastAsia="Tahoma" w:cs="Calibri Light"/>
          <w:sz w:val="22"/>
          <w:szCs w:val="22"/>
        </w:rPr>
        <w:t xml:space="preserve">   </w:t>
      </w:r>
      <w:bookmarkStart w:id="21" w:name="__DdeLink__43111_91320773121"/>
      <w:r>
        <w:rPr>
          <w:rFonts w:eastAsia="Tahoma" w:cs="Tahoma"/>
          <w:sz w:val="22"/>
          <w:szCs w:val="22"/>
        </w:rPr>
        <w:t xml:space="preserve">   </w:t>
      </w:r>
      <w:bookmarkEnd w:id="21"/>
      <w:r>
        <w:rPr>
          <w:rFonts w:eastAsia="Tahoma" w:cs="Tahoma"/>
          <w:color w:val="000000"/>
          <w:sz w:val="22"/>
          <w:szCs w:val="22"/>
        </w:rPr>
        <w:t>[   ]</w:t>
      </w:r>
      <w:r>
        <w:rPr>
          <w:rFonts w:eastAsia="Tahoma" w:cs="Calibri Light"/>
          <w:sz w:val="22"/>
          <w:szCs w:val="22"/>
        </w:rPr>
        <w:t xml:space="preserve"> Non soggetto alla disciplina di cui alla L. 68/99 </w:t>
      </w:r>
      <w:bookmarkStart w:id="22" w:name="_Hlk529259688"/>
      <w:bookmarkEnd w:id="22"/>
      <w:r>
        <w:rPr>
          <w:rFonts w:eastAsia="Tahoma" w:cs="Calibri Light"/>
          <w:sz w:val="22"/>
          <w:szCs w:val="22"/>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w:t>
      </w:r>
      <w:bookmarkStart w:id="23" w:name="__DdeLink__43111_91320773111"/>
      <w:r>
        <w:rPr>
          <w:rFonts w:eastAsia="Tahoma" w:cs="Tahoma"/>
          <w:sz w:val="22"/>
          <w:szCs w:val="22"/>
        </w:rPr>
        <w:t xml:space="preserve">     </w:t>
      </w:r>
      <w:bookmarkEnd w:id="23"/>
      <w:r>
        <w:rPr>
          <w:rFonts w:eastAsia="Tahoma" w:cs="Tahoma"/>
          <w:color w:val="000000"/>
          <w:sz w:val="22"/>
          <w:szCs w:val="22"/>
        </w:rPr>
        <w:t>[   ]Sì     [   ]No</w:t>
      </w:r>
    </w:p>
    <w:p>
      <w:pPr>
        <w:pStyle w:val="Normal"/>
        <w:widowControl w:val="false"/>
        <w:tabs>
          <w:tab w:val="left" w:pos="-14476" w:leader="none"/>
          <w:tab w:val="left" w:pos="-13484" w:leader="none"/>
        </w:tabs>
        <w:spacing w:lineRule="auto" w:line="276"/>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uto" w:line="276"/>
        <w:ind w:left="1304" w:right="0" w:hanging="0"/>
        <w:jc w:val="both"/>
        <w:rPr>
          <w:rFonts w:eastAsia="Tahoma" w:cs="Tahoma"/>
          <w:color w:val="000000"/>
          <w:sz w:val="22"/>
          <w:szCs w:val="22"/>
        </w:rPr>
      </w:pPr>
      <w:r>
        <w:rPr>
          <w:rFonts w:eastAsia="Tahoma" w:cs="Calibri Light"/>
          <w:sz w:val="22"/>
          <w:szCs w:val="22"/>
        </w:rPr>
        <w:t>In caso di risposta affermativa, ha denunciato i fatti all’autorità giudiziaria?</w:t>
      </w:r>
      <w:bookmarkStart w:id="24" w:name="__DdeLink__43111_91320773112"/>
      <w:r>
        <w:rPr>
          <w:rFonts w:eastAsia="Tahoma" w:cs="Tahoma"/>
          <w:sz w:val="22"/>
          <w:szCs w:val="22"/>
        </w:rPr>
        <w:t xml:space="preserve">   </w:t>
      </w:r>
      <w:bookmarkEnd w:id="24"/>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si trova rispetto ad un altro partecipante alla medesima procedura di affidamento</w:t>
      </w:r>
      <w:r>
        <w:rPr>
          <w:rStyle w:val="CollegamentoInternet"/>
          <w:rFonts w:eastAsia="Tahoma" w:cs="Calibri Light"/>
          <w:color w:val="000000"/>
          <w:sz w:val="22"/>
          <w:szCs w:val="22"/>
          <w:u w:val="none"/>
        </w:rPr>
        <w:t>,</w:t>
      </w:r>
      <w:r>
        <w:rPr>
          <w:rFonts w:eastAsia="Tahoma" w:cs="Calibri Light"/>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w:t>
      </w:r>
      <w:bookmarkStart w:id="25" w:name="__DdeLink__43111_91320773113"/>
      <w:r>
        <w:rPr>
          <w:rFonts w:eastAsia="Tahoma" w:cs="Tahoma"/>
          <w:sz w:val="22"/>
          <w:szCs w:val="22"/>
        </w:rPr>
        <w:t xml:space="preserve">     </w:t>
      </w:r>
      <w:bookmarkEnd w:id="25"/>
      <w:r>
        <w:rPr>
          <w:rFonts w:eastAsia="Tahoma" w:cs="Tahoma"/>
          <w:color w:val="000000"/>
          <w:sz w:val="22"/>
          <w:szCs w:val="22"/>
        </w:rPr>
        <w:t>[   ]Sì     [   ]No</w:t>
      </w:r>
    </w:p>
    <w:p>
      <w:pPr>
        <w:pStyle w:val="Normal"/>
        <w:widowControl w:val="false"/>
        <w:tabs>
          <w:tab w:val="left" w:pos="-14476" w:leader="none"/>
          <w:tab w:val="left" w:pos="-13484" w:leader="none"/>
        </w:tabs>
        <w:spacing w:lineRule="auto" w:line="276"/>
        <w:ind w:left="1304" w:right="0" w:hanging="0"/>
        <w:jc w:val="both"/>
        <w:rPr>
          <w:rFonts w:eastAsia="Tahoma" w:cs="Tahoma"/>
          <w:b/>
          <w:sz w:val="22"/>
          <w:szCs w:val="22"/>
        </w:rPr>
      </w:pPr>
      <w:r>
        <w:rPr>
          <w:rFonts w:eastAsia="Tahoma" w:cs="Tahoma"/>
          <w:b/>
          <w:sz w:val="22"/>
          <w:szCs w:val="22"/>
        </w:rPr>
      </w:r>
    </w:p>
    <w:p>
      <w:pPr>
        <w:pStyle w:val="Normal"/>
        <w:widowControl w:val="false"/>
        <w:tabs>
          <w:tab w:val="left" w:pos="-14476" w:leader="none"/>
          <w:tab w:val="left" w:pos="-13484" w:leader="none"/>
        </w:tabs>
        <w:spacing w:lineRule="auto" w:line="276"/>
        <w:ind w:left="708" w:right="0" w:hanging="0"/>
        <w:jc w:val="both"/>
        <w:rPr>
          <w:rFonts w:eastAsia="Tahoma" w:cs="Tahoma"/>
          <w:b/>
          <w:sz w:val="22"/>
          <w:szCs w:val="22"/>
        </w:rPr>
      </w:pPr>
      <w:r>
        <w:rPr>
          <w:rFonts w:eastAsia="Tahoma" w:cs="Tahoma"/>
          <w:b/>
          <w:sz w:val="22"/>
          <w:szCs w:val="22"/>
        </w:rPr>
        <w:t>PARTE IV DEL DGUE – Criteri di selezione</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suppressAutoHyphens w:val="true"/>
        <w:bidi w:val="0"/>
        <w:spacing w:lineRule="auto" w:line="276"/>
        <w:ind w:left="0" w:right="0" w:hanging="0"/>
        <w:jc w:val="both"/>
        <w:textAlignment w:val="baseline"/>
        <w:rPr>
          <w:rFonts w:eastAsia="Tahoma" w:cs="Calibri Light"/>
          <w:b/>
          <w:sz w:val="22"/>
          <w:szCs w:val="22"/>
        </w:rPr>
      </w:pPr>
      <w:r>
        <w:rPr>
          <w:rFonts w:eastAsia="Tahoma" w:cs="Calibri Light"/>
          <w:b/>
          <w:sz w:val="22"/>
          <w:szCs w:val="22"/>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
        <w:spacing w:lineRule="atLeast" w:line="340"/>
        <w:jc w:val="both"/>
        <w:rPr>
          <w:b/>
          <w:sz w:val="22"/>
          <w:szCs w:val="22"/>
        </w:rPr>
      </w:pPr>
      <w:bookmarkStart w:id="26" w:name="__DdeLink__34457_460403967"/>
      <w:r>
        <w:rPr>
          <w:rStyle w:val="Carpredefinitoparagrafo"/>
          <w:rFonts w:eastAsia="Times New Roman" w:cs="Times New Roman"/>
          <w:b/>
          <w:bCs w:val="false"/>
          <w:i w:val="false"/>
          <w:iCs w:val="false"/>
          <w:color w:val="000000"/>
          <w:sz w:val="22"/>
          <w:szCs w:val="22"/>
          <w:lang w:eastAsia="it-IT" w:bidi="ar-SA"/>
        </w:rPr>
        <w:t>- Requisiti di capacità tecnico-professionale</w:t>
      </w:r>
      <w:bookmarkEnd w:id="26"/>
      <w:r>
        <w:rPr>
          <w:b/>
          <w:sz w:val="22"/>
          <w:szCs w:val="22"/>
        </w:rPr>
        <w:t>:</w:t>
      </w:r>
    </w:p>
    <w:p>
      <w:pPr>
        <w:pStyle w:val="Normal"/>
        <w:spacing w:lineRule="atLeast" w:line="340"/>
        <w:jc w:val="left"/>
        <w:rPr>
          <w:b/>
          <w:sz w:val="22"/>
          <w:szCs w:val="22"/>
        </w:rPr>
      </w:pPr>
      <w:r>
        <w:rPr>
          <w:b/>
          <w:sz w:val="22"/>
          <w:szCs w:val="22"/>
        </w:rPr>
      </w:r>
    </w:p>
    <w:p>
      <w:pPr>
        <w:pStyle w:val="Normal"/>
        <w:suppressAutoHyphens w:val="false"/>
        <w:spacing w:lineRule="atLeast" w:line="340" w:before="0" w:after="0"/>
        <w:jc w:val="both"/>
        <w:rPr>
          <w:rFonts w:eastAsia="Times-Roman;Times New Roman" w:cs="Times New Roman"/>
          <w:b w:val="false"/>
          <w:bCs w:val="false"/>
          <w:color w:val="000000"/>
          <w:sz w:val="22"/>
          <w:szCs w:val="22"/>
          <w:shd w:fill="FFFFFF" w:val="clear"/>
          <w:lang w:eastAsia="it-IT"/>
        </w:rPr>
      </w:pPr>
      <w:r>
        <w:rPr>
          <w:rFonts w:eastAsia="Times-Roman;Times New Roman" w:cs="Times New Roman"/>
          <w:b w:val="false"/>
          <w:bCs w:val="false"/>
          <w:color w:val="000000"/>
          <w:sz w:val="22"/>
          <w:szCs w:val="22"/>
          <w:shd w:fill="FFFFFF" w:val="clear"/>
          <w:lang w:eastAsia="it-IT"/>
        </w:rPr>
        <w:t>Il concorrente deve aver eseguito con buon esito nell’ultimo triennio (2017, 2018 e 2019) un servizio analogo a favore di Enti locali per un valore complessivo, con esclusione dell'IVA almeno pari ad € 50.000,00 IVA esclusa.</w:t>
      </w:r>
    </w:p>
    <w:p>
      <w:pPr>
        <w:pStyle w:val="Normal"/>
        <w:suppressAutoHyphens w:val="false"/>
        <w:spacing w:lineRule="atLeast" w:line="340" w:before="0" w:after="0"/>
        <w:jc w:val="both"/>
        <w:rPr>
          <w:rFonts w:eastAsia="Times-Roman;Times New Roman" w:cs="Times New Roman"/>
          <w:b w:val="false"/>
          <w:bCs w:val="false"/>
          <w:color w:val="000000"/>
          <w:sz w:val="22"/>
          <w:szCs w:val="22"/>
          <w:shd w:fill="FFFFFF" w:val="clear"/>
          <w:lang w:eastAsia="it-IT"/>
        </w:rPr>
      </w:pPr>
      <w:r>
        <w:rPr>
          <w:rFonts w:eastAsia="Times-Roman;Times New Roman" w:cs="Times New Roman"/>
          <w:b w:val="false"/>
          <w:bCs w:val="false"/>
          <w:color w:val="000000"/>
          <w:sz w:val="22"/>
          <w:szCs w:val="22"/>
          <w:shd w:fill="FFFFFF" w:val="clear"/>
          <w:lang w:eastAsia="it-IT"/>
        </w:rPr>
        <w:t xml:space="preserve">Per servizio analogo si intende l'attività di elaborazione di pratiche pensionistiche e previdenziali a favore di </w:t>
      </w:r>
      <w:r>
        <w:rPr>
          <w:rFonts w:eastAsia="Times-Roman;Times New Roman" w:cs="Times New Roman"/>
          <w:b/>
          <w:bCs/>
          <w:color w:val="000000"/>
          <w:sz w:val="22"/>
          <w:szCs w:val="22"/>
          <w:shd w:fill="FFFFFF" w:val="clear"/>
          <w:lang w:eastAsia="it-IT"/>
        </w:rPr>
        <w:t>Enti locali</w:t>
      </w:r>
      <w:r>
        <w:rPr>
          <w:rFonts w:eastAsia="Times-Roman;Times New Roman" w:cs="Times New Roman"/>
          <w:b w:val="false"/>
          <w:bCs w:val="false"/>
          <w:color w:val="000000"/>
          <w:sz w:val="22"/>
          <w:szCs w:val="22"/>
          <w:shd w:fill="FFFFFF" w:val="clear"/>
          <w:lang w:eastAsia="it-IT"/>
        </w:rPr>
        <w:t>.</w:t>
      </w:r>
    </w:p>
    <w:p>
      <w:pPr>
        <w:pStyle w:val="Normal"/>
        <w:spacing w:lineRule="atLeast" w:line="340"/>
        <w:jc w:val="left"/>
        <w:rPr>
          <w:sz w:val="22"/>
          <w:szCs w:val="22"/>
        </w:rPr>
      </w:pPr>
      <w:r>
        <w:rPr>
          <w:sz w:val="22"/>
          <w:szCs w:val="22"/>
        </w:rPr>
      </w:r>
    </w:p>
    <w:p>
      <w:pPr>
        <w:pStyle w:val="Normal"/>
        <w:widowControl w:val="false"/>
        <w:tabs>
          <w:tab w:val="left" w:pos="-15780" w:leader="none"/>
          <w:tab w:val="left" w:pos="-14788" w:leader="none"/>
        </w:tabs>
        <w:spacing w:lineRule="atLeast" w:line="340"/>
        <w:ind w:left="1134" w:right="0" w:hanging="0"/>
        <w:jc w:val="left"/>
        <w:rPr>
          <w:rFonts w:eastAsia="Tahoma" w:cs="Tahoma"/>
          <w:b w:val="false"/>
          <w:bCs/>
          <w:color w:val="000000"/>
          <w:sz w:val="22"/>
          <w:szCs w:val="22"/>
          <w:shd w:fill="FFFFFF" w:val="clear"/>
        </w:rPr>
      </w:pPr>
      <w:r>
        <w:rPr>
          <w:rFonts w:eastAsia="Tahoma" w:cs="Tahoma"/>
          <w:bCs/>
          <w:sz w:val="22"/>
          <w:szCs w:val="22"/>
          <w:shd w:fill="FFFFFF" w:val="clear"/>
        </w:rPr>
        <w:t xml:space="preserve">      </w:t>
      </w:r>
      <w:r>
        <w:rPr>
          <w:rFonts w:eastAsia="Tahoma" w:cs="Tahoma"/>
          <w:bCs/>
          <w:color w:val="000000"/>
          <w:sz w:val="22"/>
          <w:szCs w:val="22"/>
          <w:shd w:fill="FFFFFF" w:val="clear"/>
        </w:rPr>
        <w:t>[   ]Sì     [   ]No</w:t>
      </w:r>
      <w:r>
        <w:rPr>
          <w:rFonts w:eastAsia="Tahoma" w:cs="Tahoma"/>
          <w:bCs/>
          <w:sz w:val="22"/>
          <w:szCs w:val="22"/>
          <w:shd w:fill="FFFFFF" w:val="clear"/>
        </w:rPr>
        <w:t xml:space="preserve">  </w:t>
      </w:r>
      <w:bookmarkStart w:id="27" w:name="__DdeLink__11616_1920585566"/>
      <w:r>
        <w:rPr>
          <w:rFonts w:eastAsia="Tahoma" w:cs="Tahoma"/>
          <w:bCs/>
          <w:sz w:val="22"/>
          <w:szCs w:val="22"/>
          <w:shd w:fill="FFFFFF" w:val="clear"/>
        </w:rPr>
        <w:t xml:space="preserve">  </w:t>
      </w:r>
      <w:bookmarkEnd w:id="27"/>
      <w:r>
        <w:rPr>
          <w:rFonts w:eastAsia="Tahoma" w:cs="Tahoma"/>
          <w:b w:val="false"/>
          <w:bCs/>
          <w:color w:val="000000"/>
          <w:sz w:val="22"/>
          <w:szCs w:val="22"/>
          <w:shd w:fill="FFFFFF" w:val="clear"/>
        </w:rPr>
        <w:t xml:space="preserve">In caso di risposta affermativa, indicare </w:t>
      </w:r>
    </w:p>
    <w:p>
      <w:pPr>
        <w:pStyle w:val="Normal"/>
        <w:spacing w:lineRule="atLeast" w:line="340"/>
        <w:jc w:val="left"/>
        <w:rPr>
          <w:sz w:val="22"/>
          <w:szCs w:val="22"/>
        </w:rPr>
      </w:pPr>
      <w:r>
        <w:rPr>
          <w:sz w:val="22"/>
          <w:szCs w:val="22"/>
        </w:rPr>
      </w:r>
    </w:p>
    <w:p>
      <w:pPr>
        <w:pStyle w:val="Normal"/>
        <w:spacing w:lineRule="atLeast" w:line="340"/>
        <w:jc w:val="left"/>
        <w:rPr>
          <w:sz w:val="22"/>
          <w:szCs w:val="22"/>
        </w:rPr>
      </w:pPr>
      <w:r>
        <w:rPr>
          <w:sz w:val="22"/>
          <w:szCs w:val="22"/>
        </w:rPr>
        <w:t>Ente committente …….……………….………………..……………………………………</w:t>
      </w:r>
    </w:p>
    <w:p>
      <w:pPr>
        <w:pStyle w:val="Normal"/>
        <w:spacing w:lineRule="atLeast" w:line="340"/>
        <w:jc w:val="left"/>
        <w:rPr>
          <w:sz w:val="22"/>
          <w:szCs w:val="22"/>
        </w:rPr>
      </w:pPr>
      <w:r>
        <w:rPr>
          <w:sz w:val="22"/>
          <w:szCs w:val="22"/>
        </w:rPr>
        <w:t>Oggetto del servizio ……………………………………………….………………………..</w:t>
      </w:r>
    </w:p>
    <w:p>
      <w:pPr>
        <w:pStyle w:val="Normal"/>
        <w:spacing w:lineRule="atLeast" w:line="340"/>
        <w:jc w:val="left"/>
        <w:rPr>
          <w:sz w:val="22"/>
          <w:szCs w:val="22"/>
        </w:rPr>
      </w:pPr>
      <w:r>
        <w:rPr>
          <w:sz w:val="22"/>
          <w:szCs w:val="22"/>
        </w:rPr>
        <w:t>…………………………………………………</w:t>
      </w:r>
      <w:r>
        <w:rPr>
          <w:sz w:val="22"/>
          <w:szCs w:val="22"/>
        </w:rPr>
        <w:t>..…………………….…..………………...</w:t>
      </w:r>
    </w:p>
    <w:p>
      <w:pPr>
        <w:pStyle w:val="Normal"/>
        <w:spacing w:lineRule="atLeast" w:line="340"/>
        <w:jc w:val="left"/>
        <w:rPr>
          <w:sz w:val="22"/>
          <w:szCs w:val="22"/>
        </w:rPr>
      </w:pPr>
      <w:r>
        <w:rPr>
          <w:sz w:val="22"/>
          <w:szCs w:val="22"/>
        </w:rPr>
        <w:t>periodo del servizio: dal ……………..………….….... al ……....………..…..…………….</w:t>
      </w:r>
    </w:p>
    <w:p>
      <w:pPr>
        <w:pStyle w:val="Normal"/>
        <w:spacing w:lineRule="atLeast" w:line="340"/>
        <w:jc w:val="left"/>
        <w:rPr>
          <w:sz w:val="22"/>
          <w:szCs w:val="22"/>
        </w:rPr>
      </w:pPr>
      <w:r>
        <w:rPr>
          <w:sz w:val="22"/>
          <w:szCs w:val="22"/>
        </w:rPr>
        <w:t>Importo (IVA esclusa)……………………………………………..…………………………….</w:t>
      </w:r>
    </w:p>
    <w:p>
      <w:pPr>
        <w:pStyle w:val="Normal"/>
        <w:spacing w:lineRule="atLeast" w:line="340"/>
        <w:jc w:val="left"/>
        <w:rPr>
          <w:rFonts w:eastAsia="Tahoma" w:cs="Calibri Light"/>
          <w:b/>
          <w:bCs w:val="false"/>
          <w:color w:val="000000"/>
          <w:sz w:val="22"/>
          <w:szCs w:val="22"/>
          <w:highlight w:val="white"/>
        </w:rPr>
      </w:pPr>
      <w:r>
        <w:rPr>
          <w:rFonts w:eastAsia="Tahoma" w:cs="Calibri Light"/>
          <w:b/>
          <w:bCs w:val="false"/>
          <w:color w:val="000000"/>
          <w:sz w:val="22"/>
          <w:szCs w:val="22"/>
          <w:highlight w:val="white"/>
        </w:rPr>
      </w:r>
    </w:p>
    <w:p>
      <w:pPr>
        <w:pStyle w:val="Normal"/>
        <w:spacing w:lineRule="atLeast" w:line="340"/>
        <w:jc w:val="left"/>
        <w:rPr>
          <w:b w:val="false"/>
          <w:bCs w:val="false"/>
          <w:sz w:val="22"/>
          <w:szCs w:val="22"/>
        </w:rPr>
      </w:pPr>
      <w:r>
        <w:rPr>
          <w:b w:val="false"/>
          <w:bCs w:val="false"/>
          <w:sz w:val="22"/>
          <w:szCs w:val="22"/>
        </w:rPr>
        <w:t>Ente committente …….……………….………………..……………………………………</w:t>
      </w:r>
    </w:p>
    <w:p>
      <w:pPr>
        <w:pStyle w:val="Normal"/>
        <w:spacing w:lineRule="atLeast" w:line="340"/>
        <w:jc w:val="left"/>
        <w:rPr>
          <w:b w:val="false"/>
          <w:bCs w:val="false"/>
          <w:sz w:val="22"/>
          <w:szCs w:val="22"/>
        </w:rPr>
      </w:pPr>
      <w:r>
        <w:rPr>
          <w:b w:val="false"/>
          <w:bCs w:val="false"/>
          <w:sz w:val="22"/>
          <w:szCs w:val="22"/>
        </w:rPr>
        <w:t>Oggetto del servizio ……………………………………………….………………………..</w:t>
      </w:r>
    </w:p>
    <w:p>
      <w:pPr>
        <w:pStyle w:val="Normal"/>
        <w:spacing w:lineRule="atLeast" w:line="340"/>
        <w:jc w:val="left"/>
        <w:rPr>
          <w:b w:val="false"/>
          <w:bCs w:val="false"/>
          <w:sz w:val="22"/>
          <w:szCs w:val="22"/>
        </w:rPr>
      </w:pPr>
      <w:r>
        <w:rPr>
          <w:b w:val="false"/>
          <w:bCs w:val="false"/>
          <w:sz w:val="22"/>
          <w:szCs w:val="22"/>
        </w:rPr>
        <w:t>…………………………………………………</w:t>
      </w:r>
      <w:r>
        <w:rPr>
          <w:b w:val="false"/>
          <w:bCs w:val="false"/>
          <w:sz w:val="22"/>
          <w:szCs w:val="22"/>
        </w:rPr>
        <w:t>..…………………….…..………………...</w:t>
      </w:r>
    </w:p>
    <w:p>
      <w:pPr>
        <w:pStyle w:val="Normal"/>
        <w:spacing w:lineRule="atLeast" w:line="340"/>
        <w:jc w:val="left"/>
        <w:rPr>
          <w:b w:val="false"/>
          <w:bCs w:val="false"/>
          <w:sz w:val="22"/>
          <w:szCs w:val="22"/>
        </w:rPr>
      </w:pPr>
      <w:r>
        <w:rPr>
          <w:b w:val="false"/>
          <w:bCs w:val="false"/>
          <w:sz w:val="22"/>
          <w:szCs w:val="22"/>
        </w:rPr>
        <w:t>periodo del servizio: dal ……………..………….….... al ……....………..…..…………….</w:t>
      </w:r>
    </w:p>
    <w:p>
      <w:pPr>
        <w:pStyle w:val="Normal"/>
        <w:spacing w:lineRule="atLeast" w:line="340"/>
        <w:jc w:val="left"/>
        <w:rPr>
          <w:rFonts w:eastAsia="Tahoma" w:cs="Calibri Light"/>
          <w:b w:val="false"/>
          <w:bCs w:val="false"/>
          <w:color w:val="000000"/>
          <w:sz w:val="22"/>
          <w:szCs w:val="22"/>
          <w:highlight w:val="white"/>
        </w:rPr>
      </w:pPr>
      <w:r>
        <w:rPr>
          <w:rFonts w:eastAsia="Tahoma" w:cs="Calibri Light"/>
          <w:b w:val="false"/>
          <w:bCs w:val="false"/>
          <w:color w:val="000000"/>
          <w:sz w:val="22"/>
          <w:szCs w:val="22"/>
          <w:highlight w:val="white"/>
        </w:rPr>
        <w:t>Importo (IVA esclusa)……………………………………………..…………………………….</w:t>
      </w:r>
    </w:p>
    <w:p>
      <w:pPr>
        <w:pStyle w:val="Normal"/>
        <w:spacing w:lineRule="atLeast" w:line="340"/>
        <w:jc w:val="left"/>
        <w:rPr>
          <w:rFonts w:eastAsia="Tahoma" w:cs="Calibri Light"/>
          <w:b/>
          <w:bCs w:val="false"/>
          <w:color w:val="000000"/>
          <w:sz w:val="22"/>
          <w:szCs w:val="22"/>
          <w:highlight w:val="white"/>
        </w:rPr>
      </w:pPr>
      <w:r>
        <w:rPr>
          <w:rFonts w:eastAsia="Tahoma" w:cs="Calibri Light"/>
          <w:b/>
          <w:bCs w:val="false"/>
          <w:color w:val="000000"/>
          <w:sz w:val="22"/>
          <w:szCs w:val="22"/>
          <w:highlight w:val="white"/>
        </w:rPr>
      </w:r>
    </w:p>
    <w:p>
      <w:pPr>
        <w:pStyle w:val="Normal"/>
        <w:widowControl w:val="false"/>
        <w:tabs>
          <w:tab w:val="left" w:pos="-14760" w:leader="none"/>
          <w:tab w:val="left" w:pos="-13768" w:leader="none"/>
        </w:tabs>
        <w:spacing w:lineRule="auto" w:line="276"/>
        <w:ind w:left="1020" w:right="0" w:hanging="0"/>
        <w:jc w:val="both"/>
        <w:rPr>
          <w:rFonts w:eastAsia="Tahoma" w:cs="Tahoma"/>
          <w:b/>
          <w:bCs/>
          <w:sz w:val="22"/>
          <w:szCs w:val="22"/>
        </w:rPr>
      </w:pPr>
      <w:r>
        <w:rPr>
          <w:rFonts w:eastAsia="Tahoma" w:cs="Tahoma"/>
          <w:b/>
          <w:bCs/>
          <w:sz w:val="22"/>
          <w:szCs w:val="22"/>
        </w:rPr>
        <w:t xml:space="preserve">Con riferimento ai requisiti oggetto di avvalimento sopra indicati dichiara: </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numPr>
          <w:ilvl w:val="0"/>
          <w:numId w:val="3"/>
        </w:numPr>
        <w:tabs>
          <w:tab w:val="left" w:pos="-14760" w:leader="none"/>
          <w:tab w:val="left" w:pos="-13768" w:leader="none"/>
        </w:tabs>
        <w:ind w:left="1068" w:right="0" w:hanging="360"/>
        <w:jc w:val="both"/>
        <w:rPr>
          <w:sz w:val="22"/>
          <w:szCs w:val="22"/>
        </w:rPr>
      </w:pPr>
      <w:r>
        <w:rPr>
          <w:sz w:val="22"/>
          <w:szCs w:val="22"/>
        </w:rPr>
        <w:t>di obbligarsi verso il concorrente e verso il Comune committente a fornire le risorse sopra elencate e a mettere a disposizione le risorse necessarie per tutta la durata dell’appalto:</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2"/>
          <w:szCs w:val="22"/>
        </w:rPr>
      </w:pPr>
      <w:bookmarkStart w:id="28" w:name="__DdeLink__43111_91320773116"/>
      <w:r>
        <w:rPr>
          <w:rFonts w:eastAsia="Tahoma" w:cs="Tahoma"/>
          <w:sz w:val="22"/>
          <w:szCs w:val="22"/>
        </w:rPr>
        <w:t xml:space="preserve">     </w:t>
      </w:r>
      <w:bookmarkEnd w:id="28"/>
      <w:r>
        <w:rPr>
          <w:rFonts w:eastAsia="Tahoma" w:cs="Tahoma"/>
          <w:color w:val="000000"/>
          <w:sz w:val="22"/>
          <w:szCs w:val="22"/>
        </w:rPr>
        <w:t>[   ]Sì     [   ]No</w:t>
      </w:r>
    </w:p>
    <w:p>
      <w:pPr>
        <w:pStyle w:val="Normal"/>
        <w:widowControl w:val="false"/>
        <w:tabs>
          <w:tab w:val="left" w:pos="-14760" w:leader="none"/>
          <w:tab w:val="left" w:pos="-13768" w:leader="none"/>
        </w:tabs>
        <w:ind w:left="348" w:right="0" w:hanging="0"/>
        <w:jc w:val="both"/>
        <w:rPr>
          <w:rFonts w:eastAsia="Tahoma" w:cs="Tahoma"/>
          <w:sz w:val="22"/>
          <w:szCs w:val="22"/>
        </w:rPr>
      </w:pPr>
      <w:r>
        <w:rPr>
          <w:rFonts w:eastAsia="Tahoma" w:cs="Tahoma"/>
          <w:sz w:val="22"/>
          <w:szCs w:val="22"/>
        </w:rPr>
      </w:r>
    </w:p>
    <w:p>
      <w:pPr>
        <w:pStyle w:val="Normal"/>
        <w:widowControl w:val="false"/>
        <w:tabs>
          <w:tab w:val="left" w:pos="-14760" w:leader="none"/>
          <w:tab w:val="left" w:pos="-13768" w:leader="none"/>
        </w:tabs>
        <w:ind w:left="348" w:right="0" w:hanging="0"/>
        <w:jc w:val="both"/>
        <w:rPr>
          <w:rFonts w:eastAsia="Tahoma" w:cs="Tahoma"/>
          <w:sz w:val="22"/>
          <w:szCs w:val="22"/>
        </w:rPr>
      </w:pPr>
      <w:r>
        <w:rPr>
          <w:rFonts w:eastAsia="Tahoma" w:cs="Tahoma"/>
          <w:sz w:val="22"/>
          <w:szCs w:val="22"/>
        </w:rPr>
      </w:r>
    </w:p>
    <w:p>
      <w:pPr>
        <w:pStyle w:val="Normal"/>
        <w:widowControl w:val="false"/>
        <w:numPr>
          <w:ilvl w:val="0"/>
          <w:numId w:val="3"/>
        </w:numPr>
        <w:tabs>
          <w:tab w:val="left" w:pos="-14760" w:leader="none"/>
          <w:tab w:val="left" w:pos="-13768" w:leader="none"/>
        </w:tabs>
        <w:ind w:left="1068" w:right="0" w:hanging="360"/>
        <w:jc w:val="both"/>
        <w:rPr>
          <w:sz w:val="22"/>
          <w:szCs w:val="22"/>
        </w:rPr>
      </w:pPr>
      <w:r>
        <w:rPr>
          <w:sz w:val="22"/>
          <w:szCs w:val="22"/>
        </w:rPr>
        <w:t>di non partecipare alla presente procedura in gara in proprio, come associata o come consorziata, e di non essere stata nominata ausiliaria di più di un concorrente:</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2"/>
          <w:szCs w:val="22"/>
        </w:rPr>
      </w:pPr>
      <w:bookmarkStart w:id="29" w:name="__DdeLink__43111_91320773117"/>
      <w:r>
        <w:rPr>
          <w:rFonts w:eastAsia="Tahoma" w:cs="Tahoma"/>
          <w:sz w:val="22"/>
          <w:szCs w:val="22"/>
        </w:rPr>
        <w:t xml:space="preserve">     </w:t>
      </w:r>
      <w:bookmarkEnd w:id="29"/>
      <w:r>
        <w:rPr>
          <w:rFonts w:eastAsia="Tahoma" w:cs="Tahoma"/>
          <w:color w:val="000000"/>
          <w:sz w:val="22"/>
          <w:szCs w:val="22"/>
        </w:rPr>
        <w:t>[   ]Sì     [   ]No</w:t>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r>
    </w:p>
    <w:p>
      <w:pPr>
        <w:pStyle w:val="Normal"/>
        <w:tabs>
          <w:tab w:val="left" w:pos="284" w:leader="none"/>
          <w:tab w:val="left" w:pos="1276" w:leader="none"/>
        </w:tabs>
        <w:jc w:val="both"/>
        <w:rPr>
          <w:rFonts w:eastAsia="Tahoma" w:cs="Tahoma"/>
          <w:b/>
          <w:bCs/>
          <w:sz w:val="22"/>
          <w:szCs w:val="22"/>
        </w:rPr>
      </w:pPr>
      <w:r>
        <w:rPr>
          <w:rFonts w:eastAsia="Tahoma" w:cs="Tahoma"/>
          <w:b/>
          <w:bCs/>
          <w:sz w:val="22"/>
          <w:szCs w:val="22"/>
        </w:rPr>
      </w:r>
    </w:p>
    <w:p>
      <w:pPr>
        <w:pStyle w:val="Normal"/>
        <w:tabs>
          <w:tab w:val="left" w:pos="284" w:leader="none"/>
          <w:tab w:val="left" w:pos="1276" w:leader="none"/>
        </w:tabs>
        <w:ind w:left="567" w:right="0" w:hanging="0"/>
        <w:jc w:val="both"/>
        <w:rPr>
          <w:rFonts w:eastAsia="Tahoma" w:cs="Tahoma"/>
          <w:b/>
          <w:bCs/>
          <w:sz w:val="22"/>
          <w:szCs w:val="22"/>
        </w:rPr>
      </w:pPr>
      <w:r>
        <w:rPr>
          <w:rFonts w:eastAsia="Tahoma" w:cs="Tahoma"/>
          <w:b/>
          <w:bCs/>
          <w:sz w:val="22"/>
          <w:szCs w:val="22"/>
        </w:rPr>
        <w:t>ULTERIORI DICHIARAZIONI</w:t>
      </w:r>
    </w:p>
    <w:p>
      <w:pPr>
        <w:pStyle w:val="Normal"/>
        <w:tabs>
          <w:tab w:val="left" w:pos="908" w:leader="none"/>
          <w:tab w:val="left" w:pos="1900" w:leader="none"/>
        </w:tabs>
        <w:ind w:left="567" w:right="0" w:hanging="0"/>
        <w:jc w:val="both"/>
        <w:rPr>
          <w:rFonts w:eastAsia="Tahoma" w:cs="Tahoma"/>
          <w:b/>
          <w:bCs/>
          <w:sz w:val="22"/>
          <w:szCs w:val="22"/>
        </w:rPr>
      </w:pPr>
      <w:r>
        <w:rPr>
          <w:rFonts w:eastAsia="Tahoma" w:cs="Tahoma"/>
          <w:b/>
          <w:bCs/>
          <w:sz w:val="22"/>
          <w:szCs w:val="22"/>
        </w:rPr>
        <w:t>L’operatore economico dichiara:</w:t>
      </w:r>
    </w:p>
    <w:p>
      <w:pPr>
        <w:pStyle w:val="Normal"/>
        <w:tabs>
          <w:tab w:val="left" w:pos="284" w:leader="none"/>
          <w:tab w:val="left" w:pos="1276" w:leader="none"/>
        </w:tabs>
        <w:jc w:val="both"/>
        <w:rPr>
          <w:rFonts w:eastAsia="Tahoma" w:cs="Tahoma"/>
          <w:sz w:val="22"/>
          <w:szCs w:val="22"/>
        </w:rPr>
      </w:pPr>
      <w:r>
        <w:rPr>
          <w:rFonts w:eastAsia="Tahoma" w:cs="Tahoma"/>
          <w:sz w:val="22"/>
          <w:szCs w:val="22"/>
        </w:rPr>
      </w:r>
    </w:p>
    <w:p>
      <w:pPr>
        <w:pStyle w:val="Normal"/>
        <w:widowControl w:val="false"/>
        <w:numPr>
          <w:ilvl w:val="0"/>
          <w:numId w:val="4"/>
        </w:numPr>
        <w:tabs>
          <w:tab w:val="left" w:pos="1163" w:leader="none"/>
        </w:tabs>
        <w:suppressAutoHyphens w:val="true"/>
        <w:bidi w:val="0"/>
        <w:spacing w:lineRule="auto" w:line="276"/>
        <w:jc w:val="both"/>
        <w:textAlignment w:val="baseline"/>
        <w:rPr>
          <w:rFonts w:eastAsia="Tahoma" w:cs="Tahoma"/>
          <w:sz w:val="22"/>
          <w:szCs w:val="22"/>
        </w:rPr>
      </w:pPr>
      <w:r>
        <w:rPr>
          <w:rFonts w:eastAsia="Tahoma" w:cs="Tahoma"/>
          <w:sz w:val="22"/>
          <w:szCs w:val="22"/>
        </w:rPr>
        <w:t>di non aver concluso contratti di lavoro subordinato o autonomo e comunque di non aver attribuito incarichi ad ex dipendenti o incaricati dell'Unione che hanno esercitato poteri autoritativi o negoziali, per conto dell'Unione, per il triennio successivo alla cessazione del rapporto.</w:t>
      </w:r>
    </w:p>
    <w:p>
      <w:pPr>
        <w:pStyle w:val="Normal"/>
        <w:tabs>
          <w:tab w:val="left" w:pos="284" w:leader="none"/>
          <w:tab w:val="left" w:pos="1276" w:leader="none"/>
        </w:tabs>
        <w:ind w:left="720" w:right="0" w:hanging="0"/>
        <w:jc w:val="both"/>
        <w:rPr>
          <w:rFonts w:eastAsia="Tahoma" w:cs="Tahoma"/>
          <w:sz w:val="22"/>
          <w:szCs w:val="22"/>
        </w:rPr>
      </w:pPr>
      <w:r>
        <w:rPr>
          <w:rFonts w:eastAsia="Tahoma" w:cs="Tahoma"/>
          <w:sz w:val="22"/>
          <w:szCs w:val="22"/>
        </w:rPr>
      </w:r>
    </w:p>
    <w:p>
      <w:pPr>
        <w:pStyle w:val="Normale"/>
        <w:widowControl w:val="false"/>
        <w:numPr>
          <w:ilvl w:val="0"/>
          <w:numId w:val="4"/>
        </w:numPr>
        <w:tabs>
          <w:tab w:val="left" w:pos="-3600" w:leader="none"/>
          <w:tab w:val="left" w:pos="-3240" w:leader="none"/>
          <w:tab w:val="left" w:pos="1118" w:leader="none"/>
        </w:tabs>
        <w:suppressAutoHyphens w:val="true"/>
        <w:bidi w:val="0"/>
        <w:spacing w:lineRule="auto" w:line="276"/>
        <w:jc w:val="both"/>
        <w:textAlignment w:val="baseline"/>
        <w:rPr>
          <w:rStyle w:val="Carpredefinitoparagrafo"/>
          <w:rFonts w:eastAsia="Times New Roman" w:cs="Times New Roman"/>
          <w:strike w:val="false"/>
          <w:dstrike w:val="false"/>
          <w:color w:val="00000A"/>
          <w:sz w:val="22"/>
          <w:szCs w:val="22"/>
          <w:lang w:val="it-IT" w:eastAsia="zh-CN" w:bidi="ar-SA"/>
        </w:rPr>
      </w:pPr>
      <w:r>
        <w:rPr>
          <w:rStyle w:val="Carpredefinitoparagrafo"/>
          <w:rFonts w:eastAsia="Times New Roman" w:cs="Times New Roman"/>
          <w:strike w:val="false"/>
          <w:dstrike w:val="false"/>
          <w:color w:val="00000A"/>
          <w:sz w:val="22"/>
          <w:szCs w:val="22"/>
          <w:lang w:val="it-IT" w:eastAsia="zh-CN" w:bidi="ar-SA"/>
        </w:rPr>
        <w:t>che il sottoscritto medesimo nonché tutti i dipendenti, collaboratori della società/impresa si obbligano al rispetto delle disposizioni contenute nel Codice di Comportamento dell’Unione Tresinaro Secchia e dei sei Comuni aderenti consultabili nella sezione “Amministrazione trasparente” dei siti istituzionali dei rispettivi Enti, nonché al rispetto delle disposizioni applicabili del codice di comportamento dei dipendenti pubblici (D.P.R. n. 62 del 16/04/2013);</w:t>
      </w:r>
    </w:p>
    <w:p>
      <w:pPr>
        <w:pStyle w:val="Normal"/>
        <w:keepNext/>
        <w:numPr>
          <w:ilvl w:val="0"/>
          <w:numId w:val="4"/>
        </w:numPr>
        <w:spacing w:before="120" w:after="60"/>
        <w:rPr>
          <w:rFonts w:eastAsia="Tahoma" w:cs="Tahoma"/>
          <w:bCs/>
          <w:sz w:val="22"/>
          <w:szCs w:val="22"/>
        </w:rPr>
      </w:pPr>
      <w:r>
        <w:rPr>
          <w:rFonts w:eastAsia="Tahoma" w:cs="Tahoma"/>
          <w:b/>
          <w:bCs/>
          <w:sz w:val="22"/>
          <w:szCs w:val="22"/>
        </w:rPr>
        <w:t xml:space="preserve">[Per gli operatori economici non residenti e privi di stabile organizzazione in Italia] </w:t>
      </w:r>
      <w:r>
        <w:rPr>
          <w:rFonts w:eastAsia="Tahoma" w:cs="Tahoma"/>
          <w:b w:val="false"/>
          <w:bCs w:val="false"/>
          <w:sz w:val="22"/>
          <w:szCs w:val="22"/>
        </w:rPr>
        <w:t>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tabs>
          <w:tab w:val="left" w:pos="-15954" w:leader="none"/>
          <w:tab w:val="left" w:pos="-14962" w:leader="none"/>
        </w:tabs>
        <w:ind w:left="720" w:right="0" w:hanging="0"/>
        <w:jc w:val="both"/>
        <w:rPr>
          <w:rFonts w:eastAsia="Tahoma" w:cs="Tahoma"/>
          <w:b/>
          <w:sz w:val="22"/>
          <w:szCs w:val="22"/>
          <w:u w:val="single"/>
        </w:rPr>
      </w:pPr>
      <w:r>
        <w:rPr>
          <w:rFonts w:eastAsia="Tahoma" w:cs="Tahoma"/>
          <w:b/>
          <w:sz w:val="22"/>
          <w:szCs w:val="22"/>
          <w:u w:val="single"/>
        </w:rPr>
      </w:r>
    </w:p>
    <w:p>
      <w:pPr>
        <w:pStyle w:val="Normal"/>
        <w:widowControl w:val="false"/>
        <w:numPr>
          <w:ilvl w:val="0"/>
          <w:numId w:val="4"/>
        </w:numPr>
        <w:tabs>
          <w:tab w:val="left" w:pos="454" w:leader="none"/>
          <w:tab w:val="left" w:pos="1446" w:leader="none"/>
        </w:tabs>
        <w:jc w:val="both"/>
        <w:rPr>
          <w:rFonts w:eastAsia="Tahoma" w:cs="Tahoma"/>
          <w:sz w:val="22"/>
          <w:szCs w:val="22"/>
        </w:rPr>
      </w:pPr>
      <w:r>
        <w:rPr>
          <w:sz w:val="22"/>
          <w:szCs w:val="22"/>
        </w:rPr>
        <w:t>[</w:t>
      </w:r>
      <w:r>
        <w:rPr>
          <w:b/>
          <w:sz w:val="22"/>
          <w:szCs w:val="22"/>
        </w:rPr>
        <w:t>solo per gli operatori economici ammessi al concordato preventivo con continuità aziendale di cui all’art. 186 bis del R.D. 16 marzo 1942, n. 267</w:t>
      </w:r>
      <w:r>
        <w:rPr>
          <w:sz w:val="22"/>
          <w:szCs w:val="22"/>
        </w:rPr>
        <w:t>] indica, ad integrazione di quanto indicato nella parte III, sez. C, lett. d) del DGUE, i seguenti estremi del provvedimento di ammissione al concordato e del provvedimento di autorizzazione a partecipare alle gare ___________________</w:t>
      </w:r>
      <w:r>
        <w:rPr>
          <w:rFonts w:eastAsia="Tahoma" w:cs="Tahoma"/>
          <w:b/>
          <w:sz w:val="22"/>
          <w:szCs w:val="22"/>
        </w:rPr>
        <w:t xml:space="preserve"> </w:t>
      </w:r>
      <w:r>
        <w:rPr>
          <w:rFonts w:eastAsia="Tahoma" w:cs="Tahoma"/>
          <w:sz w:val="22"/>
          <w:szCs w:val="22"/>
        </w:rPr>
        <w:t xml:space="preserve">rilasciati dal Tribunale di _________________________nonché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2"/>
          <w:szCs w:val="22"/>
        </w:rPr>
        <w:t>bis</w:t>
      </w:r>
      <w:r>
        <w:rPr>
          <w:rFonts w:eastAsia="Tahoma" w:cs="Tahoma"/>
          <w:sz w:val="22"/>
          <w:szCs w:val="22"/>
        </w:rPr>
        <w:t>, comma 6, del R.D. 16 marzo 1942, n. 267</w:t>
      </w:r>
    </w:p>
    <w:p>
      <w:pPr>
        <w:pStyle w:val="Normal"/>
        <w:widowControl w:val="false"/>
        <w:tabs>
          <w:tab w:val="left" w:pos="454" w:leader="none"/>
          <w:tab w:val="left" w:pos="1446" w:leader="none"/>
        </w:tabs>
        <w:jc w:val="both"/>
        <w:rPr/>
      </w:pPr>
      <w:r>
        <w:rPr/>
      </w:r>
    </w:p>
    <w:p>
      <w:pPr>
        <w:pStyle w:val="Normal"/>
        <w:widowControl w:val="false"/>
        <w:numPr>
          <w:ilvl w:val="0"/>
          <w:numId w:val="4"/>
        </w:numPr>
        <w:tabs>
          <w:tab w:val="left" w:pos="454" w:leader="none"/>
          <w:tab w:val="left" w:pos="1446" w:leader="none"/>
        </w:tabs>
        <w:spacing w:lineRule="auto" w:line="276"/>
        <w:jc w:val="both"/>
        <w:rPr>
          <w:rFonts w:eastAsia="Tahoma" w:cs="Tahoma"/>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720" w:right="0" w:hanging="0"/>
        <w:jc w:val="both"/>
        <w:rPr>
          <w:rFonts w:eastAsia="Tahoma" w:cs="Tahoma"/>
          <w:bCs/>
          <w:sz w:val="22"/>
          <w:szCs w:val="22"/>
        </w:rPr>
      </w:pPr>
      <w:r>
        <w:rPr>
          <w:rFonts w:eastAsia="Tahoma" w:cs="Tahoma"/>
          <w:bCs/>
          <w:sz w:val="22"/>
          <w:szCs w:val="22"/>
        </w:rPr>
      </w:r>
    </w:p>
    <w:p>
      <w:pPr>
        <w:pStyle w:val="Normal"/>
        <w:widowControl w:val="false"/>
        <w:numPr>
          <w:ilvl w:val="0"/>
          <w:numId w:val="4"/>
        </w:numPr>
        <w:tabs>
          <w:tab w:val="left" w:pos="454" w:leader="none"/>
          <w:tab w:val="left" w:pos="1446" w:leader="none"/>
        </w:tabs>
        <w:jc w:val="both"/>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spacing w:lineRule="auto" w:line="276"/>
        <w:ind w:left="720" w:right="0" w:hanging="0"/>
        <w:jc w:val="both"/>
        <w:rPr>
          <w:sz w:val="22"/>
          <w:szCs w:val="22"/>
        </w:rPr>
      </w:pPr>
      <w:r>
        <w:rPr>
          <w:sz w:val="22"/>
          <w:szCs w:val="22"/>
        </w:rPr>
      </w:r>
    </w:p>
    <w:p>
      <w:pPr>
        <w:pStyle w:val="Normal"/>
        <w:widowControl w:val="false"/>
        <w:numPr>
          <w:ilvl w:val="0"/>
          <w:numId w:val="4"/>
        </w:numPr>
        <w:tabs>
          <w:tab w:val="left" w:pos="454" w:leader="none"/>
          <w:tab w:val="left" w:pos="1446" w:leader="none"/>
        </w:tabs>
        <w:spacing w:lineRule="auto" w:line="276"/>
        <w:jc w:val="both"/>
        <w:rPr>
          <w:rFonts w:eastAsia="Tahoma" w:cs="Tahoma"/>
          <w:sz w:val="22"/>
          <w:szCs w:val="22"/>
        </w:rPr>
      </w:pPr>
      <w:r>
        <w:rPr>
          <w:rFonts w:cs="Arial"/>
          <w:sz w:val="22"/>
          <w:szCs w:val="22"/>
        </w:rPr>
        <w:t xml:space="preserve">di essere informato, </w:t>
      </w:r>
      <w:r>
        <w:rPr>
          <w:rFonts w:eastAsia="Tahoma" w:cs="Tahoma"/>
          <w:bCs/>
          <w:sz w:val="22"/>
          <w:szCs w:val="22"/>
        </w:rPr>
        <w:t>ai sensi dell’art. 13 del Regolamento Europeo n. 679/2016</w:t>
      </w:r>
      <w:r>
        <w:rPr>
          <w:rFonts w:cs="Arial"/>
          <w:sz w:val="22"/>
          <w:szCs w:val="22"/>
        </w:rPr>
        <w:t xml:space="preserve"> che i dati personali raccolti saranno trattati, anche con strumenti informatici, esclusivamente nell’ambito della presente gara, nonché dell’esistenza dei diritti di cui al medesimo Regolamento</w:t>
      </w:r>
      <w:r>
        <w:rPr>
          <w:rFonts w:eastAsia="Tahoma" w:cs="Tahoma"/>
          <w:sz w:val="22"/>
          <w:szCs w:val="22"/>
        </w:rPr>
        <w:t>.</w:t>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spacing w:lineRule="auto" w:line="360"/>
        <w:jc w:val="both"/>
        <w:rPr>
          <w:rFonts w:cs="Arial"/>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Ufficio/sede dell’Agenzia delle Entrate:</w:t>
      </w:r>
    </w:p>
    <w:p>
      <w:pPr>
        <w:pStyle w:val="Normal"/>
        <w:spacing w:lineRule="auto" w:line="36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2"/>
          <w:szCs w:val="22"/>
          <w:lang w:val="it-IT"/>
        </w:rPr>
      </w:pPr>
      <w:r>
        <w:rPr>
          <w:rFonts w:cs="Arial"/>
          <w:sz w:val="22"/>
          <w:szCs w:val="22"/>
          <w:lang w:val="it-IT"/>
        </w:rPr>
        <w:t>PEC _____________________________________.</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uto" w:line="36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2"/>
          <w:szCs w:val="22"/>
        </w:rPr>
      </w:pPr>
      <w:r>
        <w:rPr>
          <w:rFonts w:cs="Tahoma"/>
          <w:sz w:val="22"/>
          <w:szCs w:val="22"/>
        </w:rPr>
      </w:r>
    </w:p>
    <w:p>
      <w:pPr>
        <w:pStyle w:val="Normal"/>
        <w:widowControl/>
        <w:tabs>
          <w:tab w:val="left" w:pos="0" w:leader="none"/>
        </w:tabs>
        <w:spacing w:lineRule="auto" w:line="360" w:before="0" w:after="0"/>
        <w:ind w:left="454" w:right="0" w:hanging="0"/>
        <w:jc w:val="left"/>
        <w:rPr>
          <w:rFonts w:cs="Tahoma"/>
          <w:sz w:val="22"/>
          <w:szCs w:val="22"/>
        </w:rPr>
      </w:pPr>
      <w:r>
        <w:rPr>
          <w:rFonts w:cs="Tahoma"/>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ind w:left="454" w:right="0" w:hanging="0"/>
        <w:jc w:val="both"/>
        <w:rPr>
          <w:rFonts w:cs="Tahoma"/>
          <w:b/>
          <w:sz w:val="22"/>
          <w:szCs w:val="22"/>
        </w:rPr>
      </w:pPr>
      <w:r>
        <w:rPr>
          <w:rFonts w:cs="Tahoma"/>
          <w:b/>
          <w:sz w:val="22"/>
          <w:szCs w:val="22"/>
        </w:rPr>
      </w:r>
    </w:p>
    <w:p>
      <w:pPr>
        <w:pStyle w:val="Normal"/>
        <w:widowControl/>
        <w:tabs>
          <w:tab w:val="left" w:pos="0" w:leader="none"/>
        </w:tabs>
        <w:spacing w:lineRule="auto" w:line="360"/>
        <w:jc w:val="both"/>
        <w:rPr>
          <w:rFonts w:cs="Tahoma"/>
          <w:sz w:val="22"/>
          <w:szCs w:val="22"/>
        </w:rPr>
      </w:pPr>
      <w:r>
        <w:rPr>
          <w:rFonts w:cs="Tahoma"/>
          <w:sz w:val="22"/>
          <w:szCs w:val="22"/>
        </w:rPr>
        <w:t>Luogo e data</w:t>
      </w:r>
    </w:p>
    <w:p>
      <w:pPr>
        <w:pStyle w:val="Normal"/>
        <w:widowControl/>
        <w:tabs>
          <w:tab w:val="left" w:pos="0" w:leader="none"/>
        </w:tabs>
        <w:jc w:val="center"/>
        <w:rPr>
          <w:rFonts w:cs="Tahoma"/>
          <w:sz w:val="22"/>
          <w:szCs w:val="22"/>
        </w:rPr>
      </w:pPr>
      <w:r>
        <w:rPr>
          <w:rFonts w:cs="Tahoma"/>
          <w:sz w:val="22"/>
          <w:szCs w:val="22"/>
        </w:rPr>
        <w:tab/>
        <w:tab/>
        <w:tab/>
        <w:tab/>
        <w:tab/>
        <w:tab/>
        <w:tab/>
        <w:tab/>
        <w:tab/>
        <w:t xml:space="preserve">        IL RICHIEDENTE</w:t>
      </w:r>
    </w:p>
    <w:p>
      <w:pPr>
        <w:pStyle w:val="Normal"/>
        <w:widowControl/>
        <w:tabs>
          <w:tab w:val="left" w:pos="0" w:leader="none"/>
        </w:tabs>
        <w:rPr>
          <w:sz w:val="22"/>
          <w:szCs w:val="22"/>
        </w:rPr>
      </w:pPr>
      <w:r>
        <w:rPr>
          <w:sz w:val="22"/>
          <w:szCs w:val="22"/>
        </w:rPr>
      </w:r>
    </w:p>
    <w:p>
      <w:pPr>
        <w:pStyle w:val="Normal"/>
        <w:widowControl/>
        <w:tabs>
          <w:tab w:val="left" w:pos="0" w:leader="none"/>
        </w:tabs>
        <w:spacing w:lineRule="auto" w:line="360"/>
        <w:jc w:val="right"/>
        <w:rPr>
          <w:rFonts w:cs="Tahoma"/>
          <w:sz w:val="22"/>
          <w:szCs w:val="22"/>
        </w:rPr>
      </w:pPr>
      <w:r>
        <w:rPr>
          <w:rFonts w:cs="Tahoma"/>
          <w:sz w:val="22"/>
          <w:szCs w:val="22"/>
        </w:rPr>
      </w:r>
    </w:p>
    <w:p>
      <w:pPr>
        <w:pStyle w:val="Normal"/>
        <w:widowControl/>
        <w:tabs>
          <w:tab w:val="left" w:pos="0" w:leader="none"/>
        </w:tabs>
        <w:spacing w:lineRule="auto" w:line="360"/>
        <w:jc w:val="right"/>
        <w:rPr>
          <w:rFonts w:cs="Tahoma"/>
          <w:sz w:val="22"/>
          <w:szCs w:val="22"/>
        </w:rPr>
      </w:pPr>
      <w:r>
        <w:rPr>
          <w:rFonts w:cs="Tahoma"/>
          <w:sz w:val="22"/>
          <w:szCs w:val="22"/>
        </w:rPr>
        <w:t>___________________________</w:t>
      </w:r>
    </w:p>
    <w:p>
      <w:pPr>
        <w:pStyle w:val="Normal"/>
        <w:widowControl/>
        <w:tabs>
          <w:tab w:val="left" w:pos="0" w:leader="none"/>
        </w:tabs>
        <w:spacing w:lineRule="auto" w:line="360"/>
        <w:jc w:val="right"/>
        <w:rPr>
          <w:rFonts w:cs="Tahoma"/>
          <w:sz w:val="22"/>
          <w:szCs w:val="22"/>
        </w:rPr>
      </w:pPr>
      <w:r>
        <w:rPr>
          <w:rFonts w:cs="Tahoma"/>
          <w:sz w:val="22"/>
          <w:szCs w:val="22"/>
        </w:rPr>
        <w:t>(firmato digitalmente)</w:t>
      </w:r>
    </w:p>
    <w:p>
      <w:pPr>
        <w:pStyle w:val="Normal"/>
        <w:widowControl/>
        <w:tabs>
          <w:tab w:val="left" w:pos="0" w:leader="none"/>
        </w:tabs>
        <w:spacing w:lineRule="auto" w:line="360"/>
        <w:jc w:val="right"/>
        <w:rPr>
          <w:sz w:val="22"/>
          <w:szCs w:val="22"/>
        </w:rPr>
      </w:pPr>
      <w:r>
        <w:rPr>
          <w:sz w:val="22"/>
          <w:szCs w:val="22"/>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Symbol"/>
      <w:sz w:val="24"/>
    </w:rPr>
  </w:style>
  <w:style w:type="character" w:styleId="ListLabel540">
    <w:name w:val="ListLabel 540"/>
    <w:qFormat/>
    <w:rPr>
      <w:rFonts w:cs="Symbol"/>
      <w:sz w:val="24"/>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sz w:val="24"/>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Symbol"/>
      <w:sz w:val="24"/>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sz w:val="24"/>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Symbol"/>
      <w:sz w:val="24"/>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OpenSymbol"/>
    </w:rPr>
  </w:style>
  <w:style w:type="character" w:styleId="ListLabel601">
    <w:name w:val="ListLabel 601"/>
    <w:qFormat/>
    <w:rPr>
      <w:rFonts w:cs="OpenSymbol"/>
      <w:sz w:val="24"/>
    </w:rPr>
  </w:style>
  <w:style w:type="character" w:styleId="ListLabel602">
    <w:name w:val="ListLabel 602"/>
    <w:qFormat/>
    <w:rPr>
      <w:rFonts w:cs="Symbol"/>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OpenSymbol"/>
    </w:rPr>
  </w:style>
  <w:style w:type="character" w:styleId="ListLabel607">
    <w:name w:val="ListLabel 607"/>
    <w:qFormat/>
    <w:rPr>
      <w:rFonts w:cs="Symbol"/>
      <w:sz w:val="24"/>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OpenSymbol"/>
    </w:rPr>
  </w:style>
  <w:style w:type="character" w:styleId="ListLabel612">
    <w:name w:val="ListLabel 612"/>
    <w:qFormat/>
    <w:rPr>
      <w:rFonts w:cs="Symbol"/>
      <w:sz w:val="24"/>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cs="Symbol"/>
    </w:rPr>
  </w:style>
  <w:style w:type="character" w:styleId="ListLabel616">
    <w:name w:val="ListLabel 616"/>
    <w:qFormat/>
    <w:rPr>
      <w:rFonts w:cs="OpenSymbol"/>
    </w:rPr>
  </w:style>
  <w:style w:type="character" w:styleId="ListLabel617">
    <w:name w:val="ListLabel 617"/>
    <w:qFormat/>
    <w:rPr>
      <w:rFonts w:cs="Symbol"/>
      <w:sz w:val="24"/>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OpenSymbol"/>
    </w:rPr>
  </w:style>
  <w:style w:type="character" w:styleId="ListLabel622">
    <w:name w:val="ListLabel 622"/>
    <w:qFormat/>
    <w:rPr>
      <w:rFonts w:cs="Symbol"/>
      <w:sz w:val="24"/>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OpenSymbol"/>
    </w:rPr>
  </w:style>
  <w:style w:type="character" w:styleId="ListLabel627">
    <w:name w:val="ListLabel 627"/>
    <w:qFormat/>
    <w:rPr>
      <w:rFonts w:cs="Symbol"/>
      <w:sz w:val="24"/>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Symbol"/>
    </w:rPr>
  </w:style>
  <w:style w:type="character" w:styleId="ListLabel631">
    <w:name w:val="ListLabel 631"/>
    <w:qFormat/>
    <w:rPr>
      <w:rFonts w:cs="OpenSymbol"/>
    </w:rPr>
  </w:style>
  <w:style w:type="character" w:styleId="ListLabel632">
    <w:name w:val="ListLabel 632"/>
    <w:qFormat/>
    <w:rPr>
      <w:rFonts w:cs="Symbol"/>
      <w:sz w:val="24"/>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OpenSymbol"/>
    </w:rPr>
  </w:style>
  <w:style w:type="character" w:styleId="ListLabel893">
    <w:name w:val="ListLabel 893"/>
    <w:qFormat/>
    <w:rPr>
      <w:rFonts w:cs="Symbol"/>
    </w:rPr>
  </w:style>
  <w:style w:type="character" w:styleId="ListLabel892">
    <w:name w:val="ListLabel 892"/>
    <w:qFormat/>
    <w:rPr>
      <w:rFonts w:cs="OpenSymbol"/>
    </w:rPr>
  </w:style>
  <w:style w:type="character" w:styleId="ListLabel894">
    <w:name w:val="ListLabel 894"/>
    <w:qFormat/>
    <w:rPr>
      <w:rFonts w:cs="Symbol"/>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rPr>
  </w:style>
  <w:style w:type="character" w:styleId="ListLabel898">
    <w:name w:val="ListLabel 898"/>
    <w:qFormat/>
    <w:rPr>
      <w:rFonts w:cs="OpenSymbol"/>
    </w:rPr>
  </w:style>
  <w:style w:type="character" w:styleId="ListLabel899">
    <w:name w:val="ListLabel 899"/>
    <w:qFormat/>
    <w:rPr>
      <w:rFonts w:cs="Symbol"/>
      <w:sz w:val="24"/>
    </w:rPr>
  </w:style>
  <w:style w:type="character" w:styleId="ListLabel900">
    <w:name w:val="ListLabel 900"/>
    <w:qFormat/>
    <w:rPr>
      <w:rFonts w:cs="Symbol"/>
      <w:sz w:val="24"/>
    </w:rPr>
  </w:style>
  <w:style w:type="character" w:styleId="ListLabel901">
    <w:name w:val="ListLabel 901"/>
    <w:qFormat/>
    <w:rPr>
      <w:rFonts w:cs="Symbol"/>
      <w:sz w:val="24"/>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b/>
      <w:sz w:val="24"/>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Wingdings"/>
      <w:b w:val="false"/>
      <w:sz w:val="24"/>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27">
    <w:name w:val="ListLabel 1427"/>
    <w:qFormat/>
    <w:rPr>
      <w:rFonts w:cs="Symbol"/>
      <w:sz w:val="24"/>
    </w:rPr>
  </w:style>
  <w:style w:type="character" w:styleId="ListLabel1428">
    <w:name w:val="ListLabel 1428"/>
    <w:qFormat/>
    <w:rPr>
      <w:rFonts w:cs="Courier New"/>
    </w:rPr>
  </w:style>
  <w:style w:type="character" w:styleId="ListLabel1429">
    <w:name w:val="ListLabel 1429"/>
    <w:qFormat/>
    <w:rPr>
      <w:rFonts w:cs="Wingdings"/>
    </w:rPr>
  </w:style>
  <w:style w:type="character" w:styleId="ListLabel1430">
    <w:name w:val="ListLabel 1430"/>
    <w:qFormat/>
    <w:rPr>
      <w:rFonts w:cs="Symbol"/>
    </w:rPr>
  </w:style>
  <w:style w:type="character" w:styleId="ListLabel1431">
    <w:name w:val="ListLabel 1431"/>
    <w:qFormat/>
    <w:rPr>
      <w:rFonts w:cs="Symbol"/>
      <w:b/>
      <w:sz w:val="24"/>
    </w:rPr>
  </w:style>
  <w:style w:type="character" w:styleId="ListLabel1432">
    <w:name w:val="ListLabel 1432"/>
    <w:qFormat/>
    <w:rPr>
      <w:rFonts w:cs="OpenSymbol"/>
    </w:rPr>
  </w:style>
  <w:style w:type="character" w:styleId="ListLabel1433">
    <w:name w:val="ListLabel 1433"/>
    <w:qFormat/>
    <w:rPr>
      <w:rFonts w:cs="Wingdings"/>
      <w:b w:val="false"/>
      <w:sz w:val="24"/>
    </w:rPr>
  </w:style>
  <w:style w:type="character" w:styleId="ListLabel1609">
    <w:name w:val="ListLabel 1609"/>
    <w:qFormat/>
    <w:rPr>
      <w:rFonts w:cs="Symbol"/>
    </w:rPr>
  </w:style>
  <w:style w:type="character" w:styleId="ListLabel1611">
    <w:name w:val="ListLabel 1611"/>
    <w:qFormat/>
    <w:rPr>
      <w:rFonts w:cs="OpenSymbol"/>
    </w:rPr>
  </w:style>
  <w:style w:type="character" w:styleId="ListLabel1612">
    <w:name w:val="ListLabel 1612"/>
    <w:qFormat/>
    <w:rPr>
      <w:rFonts w:cs="Symbol"/>
      <w:sz w:val="24"/>
    </w:rPr>
  </w:style>
  <w:style w:type="character" w:styleId="ListLabel1613">
    <w:name w:val="ListLabel 1613"/>
    <w:qFormat/>
    <w:rPr>
      <w:rFonts w:cs="Symbol"/>
      <w:sz w:val="24"/>
    </w:rPr>
  </w:style>
  <w:style w:type="character" w:styleId="ListLabel1614">
    <w:name w:val="ListLabel 1614"/>
    <w:qFormat/>
    <w:rPr>
      <w:rFonts w:cs="Symbol"/>
      <w:sz w:val="24"/>
    </w:rPr>
  </w:style>
  <w:style w:type="character" w:styleId="ListLabel1615">
    <w:name w:val="ListLabel 1615"/>
    <w:qFormat/>
    <w:rPr>
      <w:rFonts w:cs="Courier New"/>
    </w:rPr>
  </w:style>
  <w:style w:type="character" w:styleId="ListLabel1616">
    <w:name w:val="ListLabel 1616"/>
    <w:qFormat/>
    <w:rPr>
      <w:rFonts w:cs="Wingdings"/>
    </w:rPr>
  </w:style>
  <w:style w:type="character" w:styleId="ListLabel1617">
    <w:name w:val="ListLabel 1617"/>
    <w:qFormat/>
    <w:rPr>
      <w:rFonts w:cs="Symbol"/>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b/>
      <w:sz w:val="24"/>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Symbol"/>
      <w:sz w:val="24"/>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Wingdings"/>
      <w:b w:val="false"/>
      <w:sz w:val="24"/>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rPr>
      <w:rFonts w:cs="Symbol"/>
      <w:sz w:val="24"/>
    </w:rPr>
  </w:style>
  <w:style w:type="character" w:styleId="ListLabel1651">
    <w:name w:val="ListLabel 1651"/>
    <w:rPr>
      <w:rFonts w:cs="Courier New"/>
    </w:rPr>
  </w:style>
  <w:style w:type="character" w:styleId="ListLabel1652">
    <w:name w:val="ListLabel 1652"/>
    <w:rPr>
      <w:rFonts w:cs="Wingdings"/>
    </w:rPr>
  </w:style>
  <w:style w:type="character" w:styleId="ListLabel1653">
    <w:name w:val="ListLabel 1653"/>
    <w:rPr>
      <w:rFonts w:cs="Symbol"/>
    </w:rPr>
  </w:style>
  <w:style w:type="character" w:styleId="ListLabel1654">
    <w:name w:val="ListLabel 1654"/>
    <w:rPr>
      <w:rFonts w:cs="Symbol"/>
      <w:b/>
      <w:sz w:val="24"/>
    </w:rPr>
  </w:style>
  <w:style w:type="character" w:styleId="ListLabel1655">
    <w:name w:val="ListLabel 1655"/>
    <w:rPr>
      <w:rFonts w:cs="OpenSymbol"/>
    </w:rPr>
  </w:style>
  <w:style w:type="character" w:styleId="ListLabel1656">
    <w:name w:val="ListLabel 1656"/>
    <w:rPr>
      <w:rFonts w:cs="Wingdings"/>
      <w:b w:val="false"/>
      <w:sz w:val="24"/>
    </w:rPr>
  </w:style>
  <w:style w:type="character" w:styleId="ListLabel1725">
    <w:name w:val="ListLabel 1725"/>
    <w:rPr>
      <w:rFonts w:cs="Symbol"/>
      <w:sz w:val="23"/>
    </w:rPr>
  </w:style>
  <w:style w:type="character" w:styleId="ListLabel1731">
    <w:name w:val="ListLabel 1731"/>
    <w:rPr>
      <w:rFonts w:cs="OpenSymbol"/>
    </w:rPr>
  </w:style>
  <w:style w:type="character" w:styleId="ListLabel1729">
    <w:name w:val="ListLabel 1729"/>
    <w:rPr>
      <w:rFonts w:cs="Symbol"/>
    </w:rPr>
  </w:style>
  <w:style w:type="character" w:styleId="ListLabel1732">
    <w:name w:val="ListLabel 1732"/>
    <w:rPr>
      <w:rFonts w:cs="Symbol"/>
      <w:sz w:val="24"/>
    </w:rPr>
  </w:style>
  <w:style w:type="character" w:styleId="ListLabel1733">
    <w:name w:val="ListLabel 1733"/>
    <w:rPr>
      <w:rFonts w:cs="Courier New"/>
    </w:rPr>
  </w:style>
  <w:style w:type="character" w:styleId="ListLabel1734">
    <w:name w:val="ListLabel 1734"/>
    <w:rPr>
      <w:rFonts w:cs="Wingdings"/>
    </w:rPr>
  </w:style>
  <w:style w:type="character" w:styleId="ListLabel1735">
    <w:name w:val="ListLabel 1735"/>
    <w:rPr>
      <w:rFonts w:cs="Symbol"/>
    </w:rPr>
  </w:style>
  <w:style w:type="character" w:styleId="ListLabel1736">
    <w:name w:val="ListLabel 1736"/>
    <w:rPr>
      <w:rFonts w:cs="Symbol"/>
      <w:b/>
      <w:sz w:val="24"/>
    </w:rPr>
  </w:style>
  <w:style w:type="character" w:styleId="ListLabel1737">
    <w:name w:val="ListLabel 1737"/>
    <w:rPr>
      <w:rFonts w:cs="OpenSymbol"/>
    </w:rPr>
  </w:style>
  <w:style w:type="character" w:styleId="ListLabel1738">
    <w:name w:val="ListLabel 1738"/>
    <w:rPr>
      <w:rFonts w:cs="Symbol"/>
      <w:sz w:val="23"/>
    </w:rPr>
  </w:style>
  <w:style w:type="character" w:styleId="ListLabel1739">
    <w:name w:val="ListLabel 1739"/>
    <w:rPr>
      <w:rFonts w:cs="Symbol"/>
      <w:sz w:val="24"/>
    </w:rPr>
  </w:style>
  <w:style w:type="character" w:styleId="ListLabel1740">
    <w:name w:val="ListLabel 1740"/>
    <w:rPr>
      <w:rFonts w:cs="Courier New"/>
    </w:rPr>
  </w:style>
  <w:style w:type="character" w:styleId="ListLabel1741">
    <w:name w:val="ListLabel 1741"/>
    <w:rPr>
      <w:rFonts w:cs="Wingdings"/>
    </w:rPr>
  </w:style>
  <w:style w:type="character" w:styleId="ListLabel1742">
    <w:name w:val="ListLabel 1742"/>
    <w:rPr>
      <w:rFonts w:cs="Symbol"/>
    </w:rPr>
  </w:style>
  <w:style w:type="character" w:styleId="ListLabel1743">
    <w:name w:val="ListLabel 1743"/>
    <w:rPr>
      <w:rFonts w:cs="Symbol"/>
      <w:b/>
      <w:sz w:val="24"/>
    </w:rPr>
  </w:style>
  <w:style w:type="character" w:styleId="ListLabel1744">
    <w:name w:val="ListLabel 1744"/>
    <w:rPr>
      <w:rFonts w:cs="OpenSymbol"/>
    </w:rPr>
  </w:style>
  <w:style w:type="character" w:styleId="ListLabel1745">
    <w:name w:val="ListLabel 1745"/>
    <w:rPr>
      <w:rFonts w:cs="Symbol"/>
      <w:sz w:val="23"/>
    </w:rPr>
  </w:style>
  <w:style w:type="character" w:styleId="ListLabel1746">
    <w:name w:val="ListLabel 1746"/>
    <w:rPr>
      <w:rFonts w:cs="Symbol"/>
      <w:sz w:val="24"/>
    </w:rPr>
  </w:style>
  <w:style w:type="character" w:styleId="ListLabel1747">
    <w:name w:val="ListLabel 1747"/>
    <w:rPr>
      <w:rFonts w:cs="Courier New"/>
    </w:rPr>
  </w:style>
  <w:style w:type="character" w:styleId="ListLabel1748">
    <w:name w:val="ListLabel 1748"/>
    <w:rPr>
      <w:rFonts w:cs="Wingdings"/>
    </w:rPr>
  </w:style>
  <w:style w:type="character" w:styleId="ListLabel1749">
    <w:name w:val="ListLabel 1749"/>
    <w:rPr>
      <w:rFonts w:cs="Symbol"/>
    </w:rPr>
  </w:style>
  <w:style w:type="character" w:styleId="ListLabel1750">
    <w:name w:val="ListLabel 1750"/>
    <w:rPr>
      <w:rFonts w:cs="Symbol"/>
      <w:b/>
      <w:sz w:val="24"/>
    </w:rPr>
  </w:style>
  <w:style w:type="character" w:styleId="ListLabel1751">
    <w:name w:val="ListLabel 1751"/>
    <w:rPr>
      <w:rFonts w:cs="OpenSymbol"/>
    </w:rPr>
  </w:style>
  <w:style w:type="character" w:styleId="ListLabel1752">
    <w:name w:val="ListLabel 1752"/>
    <w:rPr>
      <w:rFonts w:cs="Symbol"/>
      <w:sz w:val="23"/>
    </w:rPr>
  </w:style>
  <w:style w:type="character" w:styleId="ListLabel1753">
    <w:name w:val="ListLabel 1753"/>
    <w:rPr>
      <w:rFonts w:cs="Symbol"/>
      <w:sz w:val="24"/>
    </w:rPr>
  </w:style>
  <w:style w:type="character" w:styleId="ListLabel1754">
    <w:name w:val="ListLabel 1754"/>
    <w:rPr>
      <w:rFonts w:cs="Courier New"/>
    </w:rPr>
  </w:style>
  <w:style w:type="character" w:styleId="ListLabel1755">
    <w:name w:val="ListLabel 1755"/>
    <w:rPr>
      <w:rFonts w:cs="Wingdings"/>
    </w:rPr>
  </w:style>
  <w:style w:type="character" w:styleId="ListLabel1756">
    <w:name w:val="ListLabel 1756"/>
    <w:rPr>
      <w:rFonts w:cs="Symbol"/>
    </w:rPr>
  </w:style>
  <w:style w:type="character" w:styleId="ListLabel1757">
    <w:name w:val="ListLabel 1757"/>
    <w:rPr>
      <w:rFonts w:cs="Symbol"/>
      <w:b/>
      <w:sz w:val="24"/>
    </w:rPr>
  </w:style>
  <w:style w:type="character" w:styleId="ListLabel1758">
    <w:name w:val="ListLabel 1758"/>
    <w:rPr>
      <w:rFonts w:cs="OpenSymbol"/>
    </w:rPr>
  </w:style>
  <w:style w:type="character" w:styleId="ListLabel1759">
    <w:name w:val="ListLabel 1759"/>
    <w:rPr>
      <w:rFonts w:cs="Symbol"/>
      <w:sz w:val="24"/>
    </w:rPr>
  </w:style>
  <w:style w:type="character" w:styleId="ListLabel1760">
    <w:name w:val="ListLabel 1760"/>
    <w:rPr>
      <w:rFonts w:cs="Courier New"/>
    </w:rPr>
  </w:style>
  <w:style w:type="character" w:styleId="ListLabel1761">
    <w:name w:val="ListLabel 1761"/>
    <w:rPr>
      <w:rFonts w:cs="Wingdings"/>
    </w:rPr>
  </w:style>
  <w:style w:type="character" w:styleId="ListLabel1762">
    <w:name w:val="ListLabel 1762"/>
    <w:rPr>
      <w:rFonts w:cs="Symbol"/>
    </w:rPr>
  </w:style>
  <w:style w:type="character" w:styleId="ListLabel1763">
    <w:name w:val="ListLabel 1763"/>
    <w:rPr>
      <w:rFonts w:cs="Symbol"/>
      <w:b/>
      <w:sz w:val="24"/>
    </w:rPr>
  </w:style>
  <w:style w:type="character" w:styleId="ListLabel1764">
    <w:name w:val="ListLabel 1764"/>
    <w:rPr>
      <w:rFonts w:cs="OpenSymbol"/>
    </w:rPr>
  </w:style>
  <w:style w:type="character" w:styleId="ListLabel1765">
    <w:name w:val="ListLabel 1765"/>
    <w:rPr>
      <w:rFonts w:cs="Symbol"/>
      <w:sz w:val="24"/>
    </w:rPr>
  </w:style>
  <w:style w:type="character" w:styleId="ListLabel1766">
    <w:name w:val="ListLabel 1766"/>
    <w:rPr>
      <w:rFonts w:cs="Courier New"/>
    </w:rPr>
  </w:style>
  <w:style w:type="character" w:styleId="ListLabel1767">
    <w:name w:val="ListLabel 1767"/>
    <w:rPr>
      <w:rFonts w:cs="Wingdings"/>
    </w:rPr>
  </w:style>
  <w:style w:type="character" w:styleId="ListLabel1768">
    <w:name w:val="ListLabel 1768"/>
    <w:rPr>
      <w:rFonts w:cs="Symbol"/>
    </w:rPr>
  </w:style>
  <w:style w:type="character" w:styleId="ListLabel1769">
    <w:name w:val="ListLabel 1769"/>
    <w:rPr>
      <w:rFonts w:cs="Symbol"/>
      <w:b/>
      <w:sz w:val="24"/>
    </w:rPr>
  </w:style>
  <w:style w:type="character" w:styleId="ListLabel1770">
    <w:name w:val="ListLabel 1770"/>
    <w:rPr>
      <w:rFonts w:cs="OpenSymbol"/>
    </w:rPr>
  </w:style>
  <w:style w:type="character" w:styleId="ListLabel1771">
    <w:name w:val="ListLabel 1771"/>
    <w:rPr>
      <w:rFonts w:cs="Symbol"/>
      <w:sz w:val="24"/>
    </w:rPr>
  </w:style>
  <w:style w:type="character" w:styleId="ListLabel1772">
    <w:name w:val="ListLabel 1772"/>
    <w:rPr>
      <w:rFonts w:cs="Courier New"/>
    </w:rPr>
  </w:style>
  <w:style w:type="character" w:styleId="ListLabel1773">
    <w:name w:val="ListLabel 1773"/>
    <w:rPr>
      <w:rFonts w:cs="Wingdings"/>
    </w:rPr>
  </w:style>
  <w:style w:type="character" w:styleId="ListLabel1774">
    <w:name w:val="ListLabel 1774"/>
    <w:rPr>
      <w:rFonts w:cs="Symbol"/>
    </w:rPr>
  </w:style>
  <w:style w:type="character" w:styleId="ListLabel1775">
    <w:name w:val="ListLabel 1775"/>
    <w:rPr>
      <w:rFonts w:cs="Symbol"/>
      <w:b/>
      <w:sz w:val="24"/>
    </w:rPr>
  </w:style>
  <w:style w:type="character" w:styleId="ListLabel1776">
    <w:name w:val="ListLabel 1776"/>
    <w:rPr>
      <w:rFonts w:cs="OpenSymbol"/>
    </w:rPr>
  </w:style>
  <w:style w:type="character" w:styleId="ListLabel1777">
    <w:name w:val="ListLabel 1777"/>
    <w:rPr>
      <w:rFonts w:cs="Symbol"/>
      <w:sz w:val="24"/>
    </w:rPr>
  </w:style>
  <w:style w:type="character" w:styleId="ListLabel1778">
    <w:name w:val="ListLabel 1778"/>
    <w:rPr>
      <w:rFonts w:cs="Courier New"/>
    </w:rPr>
  </w:style>
  <w:style w:type="character" w:styleId="ListLabel1779">
    <w:name w:val="ListLabel 1779"/>
    <w:rPr>
      <w:rFonts w:cs="Wingdings"/>
    </w:rPr>
  </w:style>
  <w:style w:type="character" w:styleId="ListLabel1780">
    <w:name w:val="ListLabel 1780"/>
    <w:rPr>
      <w:rFonts w:cs="Symbol"/>
    </w:rPr>
  </w:style>
  <w:style w:type="character" w:styleId="ListLabel1781">
    <w:name w:val="ListLabel 1781"/>
    <w:rPr>
      <w:rFonts w:cs="Symbol"/>
      <w:b/>
      <w:sz w:val="24"/>
    </w:rPr>
  </w:style>
  <w:style w:type="character" w:styleId="ListLabel1782">
    <w:name w:val="ListLabel 1782"/>
    <w:rPr>
      <w:rFonts w:cs="OpenSymbol"/>
    </w:rPr>
  </w:style>
  <w:style w:type="character" w:styleId="ListLabel1783">
    <w:name w:val="ListLabel 1783"/>
    <w:rPr>
      <w:rFonts w:cs="Symbol"/>
      <w:sz w:val="24"/>
    </w:rPr>
  </w:style>
  <w:style w:type="character" w:styleId="ListLabel1784">
    <w:name w:val="ListLabel 1784"/>
    <w:rPr>
      <w:rFonts w:cs="Courier New"/>
    </w:rPr>
  </w:style>
  <w:style w:type="character" w:styleId="ListLabel1785">
    <w:name w:val="ListLabel 1785"/>
    <w:rPr>
      <w:rFonts w:cs="Wingdings"/>
    </w:rPr>
  </w:style>
  <w:style w:type="character" w:styleId="ListLabel1786">
    <w:name w:val="ListLabel 1786"/>
    <w:rPr>
      <w:rFonts w:cs="Symbol"/>
    </w:rPr>
  </w:style>
  <w:style w:type="character" w:styleId="ListLabel1787">
    <w:name w:val="ListLabel 1787"/>
    <w:rPr>
      <w:rFonts w:cs="Symbol"/>
      <w:b/>
      <w:sz w:val="24"/>
    </w:rPr>
  </w:style>
  <w:style w:type="character" w:styleId="ListLabel1788">
    <w:name w:val="ListLabel 1788"/>
    <w:rPr>
      <w:rFonts w:cs="OpenSymbol"/>
    </w:rPr>
  </w:style>
  <w:style w:type="character" w:styleId="ListLabel1789">
    <w:name w:val="ListLabel 1789"/>
    <w:rPr>
      <w:rFonts w:cs="Symbol"/>
      <w:sz w:val="24"/>
    </w:rPr>
  </w:style>
  <w:style w:type="character" w:styleId="ListLabel1790">
    <w:name w:val="ListLabel 1790"/>
    <w:rPr>
      <w:rFonts w:cs="Courier New"/>
    </w:rPr>
  </w:style>
  <w:style w:type="character" w:styleId="ListLabel1791">
    <w:name w:val="ListLabel 1791"/>
    <w:rPr>
      <w:rFonts w:cs="Wingdings"/>
    </w:rPr>
  </w:style>
  <w:style w:type="character" w:styleId="ListLabel1792">
    <w:name w:val="ListLabel 1792"/>
    <w:rPr>
      <w:rFonts w:cs="Symbol"/>
    </w:rPr>
  </w:style>
  <w:style w:type="character" w:styleId="ListLabel1793">
    <w:name w:val="ListLabel 1793"/>
    <w:rPr>
      <w:rFonts w:cs="Symbol"/>
      <w:b/>
      <w:sz w:val="24"/>
    </w:rPr>
  </w:style>
  <w:style w:type="character" w:styleId="ListLabel1794">
    <w:name w:val="ListLabel 1794"/>
    <w:rPr>
      <w:rFonts w:cs="OpenSymbol"/>
    </w:rPr>
  </w:style>
  <w:style w:type="character" w:styleId="ListLabel1795">
    <w:name w:val="ListLabel 1795"/>
    <w:rPr>
      <w:rFonts w:cs="Symbol"/>
      <w:sz w:val="24"/>
    </w:rPr>
  </w:style>
  <w:style w:type="character" w:styleId="ListLabel1796">
    <w:name w:val="ListLabel 1796"/>
    <w:rPr>
      <w:rFonts w:cs="Courier New"/>
    </w:rPr>
  </w:style>
  <w:style w:type="character" w:styleId="ListLabel1797">
    <w:name w:val="ListLabel 1797"/>
    <w:rPr>
      <w:rFonts w:cs="Wingdings"/>
    </w:rPr>
  </w:style>
  <w:style w:type="character" w:styleId="ListLabel1798">
    <w:name w:val="ListLabel 1798"/>
    <w:rPr>
      <w:rFonts w:cs="Symbol"/>
    </w:rPr>
  </w:style>
  <w:style w:type="character" w:styleId="ListLabel1799">
    <w:name w:val="ListLabel 1799"/>
    <w:rPr>
      <w:rFonts w:cs="Symbol"/>
      <w:b/>
      <w:sz w:val="24"/>
    </w:rPr>
  </w:style>
  <w:style w:type="character" w:styleId="ListLabel1800">
    <w:name w:val="ListLabel 1800"/>
    <w:rPr>
      <w:rFonts w:cs="OpenSymbol"/>
    </w:rPr>
  </w:style>
  <w:style w:type="character" w:styleId="ListLabel1801">
    <w:name w:val="ListLabel 1801"/>
    <w:rPr>
      <w:rFonts w:cs="Symbol"/>
      <w:sz w:val="24"/>
    </w:rPr>
  </w:style>
  <w:style w:type="character" w:styleId="ListLabel1802">
    <w:name w:val="ListLabel 1802"/>
    <w:rPr>
      <w:rFonts w:cs="Courier New"/>
    </w:rPr>
  </w:style>
  <w:style w:type="character" w:styleId="ListLabel1803">
    <w:name w:val="ListLabel 1803"/>
    <w:rPr>
      <w:rFonts w:cs="Wingdings"/>
    </w:rPr>
  </w:style>
  <w:style w:type="character" w:styleId="ListLabel1804">
    <w:name w:val="ListLabel 1804"/>
    <w:rPr>
      <w:rFonts w:cs="Symbol"/>
    </w:rPr>
  </w:style>
  <w:style w:type="character" w:styleId="ListLabel1805">
    <w:name w:val="ListLabel 1805"/>
    <w:rPr>
      <w:rFonts w:cs="Symbol"/>
      <w:b/>
      <w:sz w:val="24"/>
    </w:rPr>
  </w:style>
  <w:style w:type="character" w:styleId="ListLabel1806">
    <w:name w:val="ListLabel 1806"/>
    <w:rPr>
      <w:rFonts w:cs="OpenSymbol"/>
    </w:rPr>
  </w:style>
  <w:style w:type="character" w:styleId="ListLabel1807">
    <w:name w:val="ListLabel 1807"/>
    <w:rPr>
      <w:rFonts w:cs="Symbol"/>
      <w:sz w:val="24"/>
    </w:rPr>
  </w:style>
  <w:style w:type="character" w:styleId="ListLabel1808">
    <w:name w:val="ListLabel 1808"/>
    <w:rPr>
      <w:rFonts w:cs="Courier New"/>
    </w:rPr>
  </w:style>
  <w:style w:type="character" w:styleId="ListLabel1809">
    <w:name w:val="ListLabel 1809"/>
    <w:rPr>
      <w:rFonts w:cs="Wingdings"/>
    </w:rPr>
  </w:style>
  <w:style w:type="character" w:styleId="ListLabel1810">
    <w:name w:val="ListLabel 1810"/>
    <w:rPr>
      <w:rFonts w:cs="Symbol"/>
    </w:rPr>
  </w:style>
  <w:style w:type="character" w:styleId="ListLabel1811">
    <w:name w:val="ListLabel 1811"/>
    <w:rPr>
      <w:rFonts w:cs="Symbol"/>
      <w:b/>
      <w:sz w:val="24"/>
    </w:rPr>
  </w:style>
  <w:style w:type="character" w:styleId="ListLabel1812">
    <w:name w:val="ListLabel 1812"/>
    <w:rPr>
      <w:rFonts w:cs="OpenSymbol"/>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Normale1">
    <w:name w:val="Normale1"/>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2019-04-23T16:18:55Z</cp:lastPrinted>
  <dcterms:modified xsi:type="dcterms:W3CDTF">2019-04-18T16:04:08Z</dcterms:modified>
  <cp:revision>17</cp:revision>
</cp:coreProperties>
</file>